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705" w:rsidRPr="00317E27" w:rsidRDefault="00436705" w:rsidP="00436705">
      <w:pPr>
        <w:pStyle w:val="aa"/>
        <w:jc w:val="center"/>
        <w:rPr>
          <w:rFonts w:ascii="Times New Roman" w:hAnsi="Times New Roman"/>
          <w:b/>
          <w:sz w:val="24"/>
          <w:szCs w:val="24"/>
        </w:rPr>
      </w:pPr>
      <w:r>
        <w:rPr>
          <w:rFonts w:ascii="Times New Roman" w:hAnsi="Times New Roman"/>
          <w:b/>
          <w:sz w:val="24"/>
          <w:szCs w:val="24"/>
        </w:rPr>
        <w:t xml:space="preserve">    </w:t>
      </w:r>
      <w:r w:rsidRPr="00317E27">
        <w:rPr>
          <w:rFonts w:ascii="Times New Roman" w:hAnsi="Times New Roman"/>
          <w:b/>
          <w:sz w:val="24"/>
          <w:szCs w:val="24"/>
        </w:rPr>
        <w:t>RAPORT</w:t>
      </w:r>
    </w:p>
    <w:p w:rsidR="00436705" w:rsidRPr="00317E27" w:rsidRDefault="00436705" w:rsidP="00436705">
      <w:pPr>
        <w:spacing w:after="0" w:line="240" w:lineRule="auto"/>
        <w:ind w:left="-360"/>
        <w:jc w:val="center"/>
        <w:rPr>
          <w:rFonts w:ascii="Times New Roman" w:hAnsi="Times New Roman"/>
          <w:b/>
          <w:sz w:val="24"/>
          <w:szCs w:val="24"/>
          <w:lang w:val="it-IT"/>
        </w:rPr>
      </w:pPr>
      <w:proofErr w:type="gramStart"/>
      <w:r w:rsidRPr="00317E27">
        <w:rPr>
          <w:rFonts w:ascii="Times New Roman" w:hAnsi="Times New Roman"/>
          <w:b/>
          <w:sz w:val="24"/>
          <w:szCs w:val="24"/>
        </w:rPr>
        <w:t>privind</w:t>
      </w:r>
      <w:proofErr w:type="gramEnd"/>
      <w:r w:rsidRPr="00317E27">
        <w:rPr>
          <w:rFonts w:ascii="Times New Roman" w:hAnsi="Times New Roman"/>
          <w:b/>
          <w:sz w:val="24"/>
          <w:szCs w:val="24"/>
        </w:rPr>
        <w:t xml:space="preserve"> activitatea</w:t>
      </w:r>
      <w:r w:rsidRPr="00317E27">
        <w:rPr>
          <w:rFonts w:ascii="Times New Roman" w:hAnsi="Times New Roman"/>
          <w:b/>
          <w:sz w:val="24"/>
          <w:szCs w:val="24"/>
          <w:lang w:val="it-IT"/>
        </w:rPr>
        <w:t xml:space="preserve"> Direcţiei agricultură</w:t>
      </w:r>
    </w:p>
    <w:p w:rsidR="00436705" w:rsidRPr="00317E27" w:rsidRDefault="00436705" w:rsidP="00436705">
      <w:pPr>
        <w:spacing w:after="0" w:line="240" w:lineRule="auto"/>
        <w:ind w:left="-360"/>
        <w:jc w:val="center"/>
        <w:rPr>
          <w:rFonts w:ascii="Times New Roman" w:hAnsi="Times New Roman"/>
          <w:b/>
          <w:sz w:val="24"/>
          <w:szCs w:val="24"/>
          <w:lang w:val="it-IT"/>
        </w:rPr>
      </w:pPr>
      <w:r w:rsidRPr="00317E27">
        <w:rPr>
          <w:rFonts w:ascii="Times New Roman" w:hAnsi="Times New Roman"/>
          <w:b/>
          <w:sz w:val="24"/>
          <w:szCs w:val="24"/>
          <w:lang w:val="it-IT"/>
        </w:rPr>
        <w:t xml:space="preserve"> şi dezvoltare economică</w:t>
      </w:r>
      <w:r w:rsidRPr="00317E27">
        <w:rPr>
          <w:rFonts w:ascii="Times New Roman" w:hAnsi="Times New Roman"/>
          <w:b/>
          <w:noProof/>
          <w:sz w:val="24"/>
          <w:szCs w:val="24"/>
          <w:lang w:val="it-IT"/>
        </w:rPr>
        <w:t xml:space="preserve"> în</w:t>
      </w:r>
      <w:r w:rsidRPr="00317E27">
        <w:rPr>
          <w:rFonts w:ascii="Times New Roman" w:hAnsi="Times New Roman"/>
          <w:b/>
          <w:sz w:val="24"/>
          <w:szCs w:val="24"/>
          <w:lang w:val="it-IT"/>
        </w:rPr>
        <w:t xml:space="preserve"> an</w:t>
      </w:r>
      <w:r w:rsidRPr="00317E27">
        <w:rPr>
          <w:rFonts w:ascii="Times New Roman" w:hAnsi="Times New Roman"/>
          <w:b/>
          <w:sz w:val="24"/>
          <w:szCs w:val="24"/>
          <w:lang w:val="ro-RO"/>
        </w:rPr>
        <w:t xml:space="preserve">ul </w:t>
      </w:r>
      <w:r w:rsidRPr="00317E27">
        <w:rPr>
          <w:rFonts w:ascii="Times New Roman" w:hAnsi="Times New Roman"/>
          <w:b/>
          <w:sz w:val="24"/>
          <w:szCs w:val="24"/>
          <w:lang w:val="it-IT"/>
        </w:rPr>
        <w:t>201</w:t>
      </w:r>
      <w:r>
        <w:rPr>
          <w:rFonts w:ascii="Times New Roman" w:hAnsi="Times New Roman"/>
          <w:b/>
          <w:sz w:val="24"/>
          <w:szCs w:val="24"/>
          <w:lang w:val="it-IT"/>
        </w:rPr>
        <w:t>8</w:t>
      </w:r>
      <w:r w:rsidRPr="00317E27">
        <w:rPr>
          <w:rFonts w:ascii="Times New Roman" w:hAnsi="Times New Roman"/>
          <w:b/>
          <w:sz w:val="24"/>
          <w:szCs w:val="24"/>
          <w:lang w:val="ro-RO"/>
        </w:rPr>
        <w:t xml:space="preserve">  </w:t>
      </w:r>
    </w:p>
    <w:p w:rsidR="00436705" w:rsidRPr="00317E27" w:rsidRDefault="00436705" w:rsidP="00436705">
      <w:pPr>
        <w:spacing w:after="0" w:line="240" w:lineRule="auto"/>
        <w:ind w:firstLine="708"/>
        <w:jc w:val="both"/>
        <w:rPr>
          <w:rFonts w:ascii="Times New Roman" w:hAnsi="Times New Roman"/>
          <w:sz w:val="24"/>
          <w:szCs w:val="24"/>
          <w:lang w:val="ro-RO"/>
        </w:rPr>
      </w:pPr>
    </w:p>
    <w:p w:rsidR="00436705" w:rsidRPr="00317E27" w:rsidRDefault="00436705" w:rsidP="00436705">
      <w:pPr>
        <w:ind w:firstLine="708"/>
        <w:jc w:val="both"/>
        <w:rPr>
          <w:rFonts w:ascii="Times New Roman" w:eastAsia="Times New Roman" w:hAnsi="Times New Roman"/>
          <w:bCs/>
          <w:color w:val="000000"/>
          <w:sz w:val="24"/>
          <w:szCs w:val="24"/>
        </w:rPr>
      </w:pPr>
      <w:r w:rsidRPr="00317E27">
        <w:rPr>
          <w:rFonts w:ascii="Times New Roman" w:hAnsi="Times New Roman"/>
          <w:sz w:val="24"/>
          <w:szCs w:val="24"/>
        </w:rPr>
        <w:t>Direcţia a</w:t>
      </w:r>
      <w:r w:rsidRPr="00317E27">
        <w:rPr>
          <w:rFonts w:ascii="Times New Roman" w:hAnsi="Times New Roman"/>
          <w:sz w:val="24"/>
          <w:szCs w:val="24"/>
          <w:lang w:val="ro-RO"/>
        </w:rPr>
        <w:t>gricultură şi dezvoltare economică,</w:t>
      </w:r>
      <w:r w:rsidRPr="00317E27">
        <w:rPr>
          <w:rFonts w:ascii="Times New Roman" w:hAnsi="Times New Roman"/>
          <w:sz w:val="24"/>
          <w:szCs w:val="24"/>
        </w:rPr>
        <w:t xml:space="preserve"> în perioada anului 201</w:t>
      </w:r>
      <w:r>
        <w:rPr>
          <w:rFonts w:ascii="Times New Roman" w:hAnsi="Times New Roman"/>
          <w:sz w:val="24"/>
          <w:szCs w:val="24"/>
        </w:rPr>
        <w:t>8</w:t>
      </w:r>
      <w:r w:rsidRPr="00317E27">
        <w:rPr>
          <w:rFonts w:ascii="Times New Roman" w:hAnsi="Times New Roman"/>
          <w:sz w:val="24"/>
          <w:szCs w:val="24"/>
        </w:rPr>
        <w:t xml:space="preserve"> s-a axat pe atingerea obiectivului general - implementarea politicii de dezvoltare teritorială, în conformitate cu priorităţile stabilite în documentele de politici naţionale şi  în domeniul dezvoltării teritoriale.</w:t>
      </w:r>
    </w:p>
    <w:p w:rsidR="00436705" w:rsidRDefault="00436705" w:rsidP="00436705">
      <w:pPr>
        <w:spacing w:after="0" w:line="240" w:lineRule="auto"/>
        <w:ind w:firstLine="708"/>
        <w:jc w:val="both"/>
        <w:rPr>
          <w:rFonts w:ascii="Times New Roman" w:hAnsi="Times New Roman"/>
          <w:sz w:val="24"/>
          <w:szCs w:val="24"/>
        </w:rPr>
      </w:pPr>
      <w:r w:rsidRPr="00317E27">
        <w:rPr>
          <w:rFonts w:ascii="Times New Roman" w:hAnsi="Times New Roman"/>
          <w:sz w:val="24"/>
          <w:szCs w:val="24"/>
        </w:rPr>
        <w:t>Colaboratorii Direcţiei, în perioada anului 201</w:t>
      </w:r>
      <w:r>
        <w:rPr>
          <w:rFonts w:ascii="Times New Roman" w:hAnsi="Times New Roman"/>
          <w:sz w:val="24"/>
          <w:szCs w:val="24"/>
        </w:rPr>
        <w:t>8</w:t>
      </w:r>
      <w:r w:rsidRPr="00317E27">
        <w:rPr>
          <w:rFonts w:ascii="Times New Roman" w:hAnsi="Times New Roman"/>
          <w:sz w:val="24"/>
          <w:szCs w:val="24"/>
        </w:rPr>
        <w:t>, în activitatea s-au axat pe atingerea obiectivelor planificate pentru anul 201</w:t>
      </w:r>
      <w:r>
        <w:rPr>
          <w:rFonts w:ascii="Times New Roman" w:hAnsi="Times New Roman"/>
          <w:sz w:val="24"/>
          <w:szCs w:val="24"/>
        </w:rPr>
        <w:t>8</w:t>
      </w:r>
      <w:r w:rsidRPr="00317E27">
        <w:rPr>
          <w:rFonts w:ascii="Times New Roman" w:hAnsi="Times New Roman"/>
          <w:sz w:val="24"/>
          <w:szCs w:val="24"/>
        </w:rPr>
        <w:t>, din care:</w:t>
      </w:r>
    </w:p>
    <w:p w:rsidR="00AB7A26" w:rsidRPr="00AB7A26" w:rsidRDefault="00AB7A26" w:rsidP="00AB7A26">
      <w:pPr>
        <w:pStyle w:val="ac"/>
        <w:numPr>
          <w:ilvl w:val="0"/>
          <w:numId w:val="11"/>
        </w:numPr>
        <w:tabs>
          <w:tab w:val="center" w:pos="9870"/>
        </w:tabs>
        <w:spacing w:after="0"/>
        <w:ind w:right="141"/>
        <w:jc w:val="both"/>
        <w:rPr>
          <w:rFonts w:ascii="Times New Roman" w:hAnsi="Times New Roman"/>
          <w:sz w:val="24"/>
          <w:szCs w:val="24"/>
          <w:lang w:val="ro-RO"/>
        </w:rPr>
      </w:pPr>
      <w:r w:rsidRPr="00317E27">
        <w:rPr>
          <w:rFonts w:ascii="Times New Roman" w:hAnsi="Times New Roman"/>
          <w:sz w:val="24"/>
          <w:szCs w:val="24"/>
        </w:rPr>
        <w:t>implementarea politicii de dezvoltare teritorială, în conformitate cu priorităţile stabilite în documentele de politici naţionale şi în domeniul dezvoltării teritoriale</w:t>
      </w:r>
      <w:r>
        <w:rPr>
          <w:rFonts w:ascii="Times New Roman" w:hAnsi="Times New Roman"/>
          <w:sz w:val="24"/>
          <w:szCs w:val="24"/>
        </w:rPr>
        <w:t>,</w:t>
      </w:r>
    </w:p>
    <w:p w:rsidR="00AB7A26" w:rsidRPr="00AB7A26" w:rsidRDefault="00AB7A26" w:rsidP="00AB7A26">
      <w:pPr>
        <w:pStyle w:val="ac"/>
        <w:numPr>
          <w:ilvl w:val="0"/>
          <w:numId w:val="11"/>
        </w:numPr>
        <w:tabs>
          <w:tab w:val="center" w:pos="9870"/>
        </w:tabs>
        <w:spacing w:after="0"/>
        <w:ind w:right="141"/>
        <w:jc w:val="both"/>
        <w:rPr>
          <w:rFonts w:ascii="Times New Roman" w:hAnsi="Times New Roman"/>
          <w:sz w:val="24"/>
          <w:szCs w:val="24"/>
          <w:lang w:val="ro-RO"/>
        </w:rPr>
      </w:pPr>
      <w:r>
        <w:rPr>
          <w:rFonts w:ascii="Times New Roman" w:hAnsi="Times New Roman"/>
          <w:sz w:val="24"/>
          <w:szCs w:val="24"/>
        </w:rPr>
        <w:t>p</w:t>
      </w:r>
      <w:r w:rsidRPr="00AB7A26">
        <w:rPr>
          <w:rFonts w:ascii="Times New Roman" w:hAnsi="Times New Roman"/>
          <w:sz w:val="24"/>
          <w:szCs w:val="24"/>
        </w:rPr>
        <w:t>romovarea și implementarea politicii agrare în teritoriu,</w:t>
      </w:r>
      <w:r w:rsidRPr="00AB7A26">
        <w:rPr>
          <w:rFonts w:ascii="Times New Roman" w:hAnsi="Times New Roman"/>
          <w:sz w:val="24"/>
          <w:szCs w:val="24"/>
          <w:lang w:val="ro-RO"/>
        </w:rPr>
        <w:t xml:space="preserve"> organizarea și petrecerea seminarelor de profil, pentru instruirea agenților </w:t>
      </w:r>
      <w:r>
        <w:rPr>
          <w:rFonts w:ascii="Times New Roman" w:hAnsi="Times New Roman"/>
          <w:sz w:val="24"/>
          <w:szCs w:val="24"/>
          <w:lang w:val="ro-RO"/>
        </w:rPr>
        <w:t>economici și persoanelor fizice,</w:t>
      </w:r>
    </w:p>
    <w:p w:rsidR="00AB7A26" w:rsidRPr="00AB7A26" w:rsidRDefault="00AB7A26" w:rsidP="00AB7A26">
      <w:pPr>
        <w:pStyle w:val="ac"/>
        <w:numPr>
          <w:ilvl w:val="0"/>
          <w:numId w:val="11"/>
        </w:numPr>
        <w:tabs>
          <w:tab w:val="center" w:pos="9870"/>
        </w:tabs>
        <w:spacing w:after="0"/>
        <w:ind w:right="141"/>
        <w:jc w:val="both"/>
        <w:rPr>
          <w:rFonts w:ascii="Times New Roman" w:hAnsi="Times New Roman"/>
          <w:sz w:val="24"/>
          <w:szCs w:val="24"/>
          <w:lang w:val="ro-RO"/>
        </w:rPr>
      </w:pPr>
      <w:r>
        <w:rPr>
          <w:rFonts w:ascii="Times New Roman" w:hAnsi="Times New Roman"/>
          <w:sz w:val="24"/>
          <w:szCs w:val="24"/>
          <w:lang w:val="ro-RO"/>
        </w:rPr>
        <w:t>a</w:t>
      </w:r>
      <w:r w:rsidRPr="00AB7A26">
        <w:rPr>
          <w:rFonts w:ascii="Times New Roman" w:hAnsi="Times New Roman"/>
          <w:sz w:val="24"/>
          <w:szCs w:val="24"/>
          <w:lang w:val="ro-RO"/>
        </w:rPr>
        <w:t>cumularea și monitorizarea informației oper</w:t>
      </w:r>
      <w:r>
        <w:rPr>
          <w:rFonts w:ascii="Times New Roman" w:hAnsi="Times New Roman"/>
          <w:sz w:val="24"/>
          <w:szCs w:val="24"/>
          <w:lang w:val="ro-RO"/>
        </w:rPr>
        <w:t>ative din sectorul agrar,</w:t>
      </w:r>
    </w:p>
    <w:p w:rsidR="00AB7A26" w:rsidRPr="00AB7A26" w:rsidRDefault="00AB7A26" w:rsidP="00AB7A26">
      <w:pPr>
        <w:pStyle w:val="ac"/>
        <w:numPr>
          <w:ilvl w:val="0"/>
          <w:numId w:val="11"/>
        </w:numPr>
        <w:tabs>
          <w:tab w:val="center" w:pos="9870"/>
        </w:tabs>
        <w:spacing w:after="0"/>
        <w:ind w:right="141"/>
        <w:jc w:val="both"/>
        <w:rPr>
          <w:rFonts w:ascii="Times New Roman" w:hAnsi="Times New Roman"/>
          <w:sz w:val="24"/>
          <w:szCs w:val="24"/>
          <w:lang w:val="ro-RO"/>
        </w:rPr>
      </w:pPr>
      <w:r>
        <w:rPr>
          <w:rFonts w:ascii="Times New Roman" w:hAnsi="Times New Roman"/>
          <w:sz w:val="24"/>
          <w:szCs w:val="24"/>
          <w:lang w:val="ro-RO"/>
        </w:rPr>
        <w:t>e</w:t>
      </w:r>
      <w:r w:rsidRPr="00AB7A26">
        <w:rPr>
          <w:rFonts w:ascii="Times New Roman" w:hAnsi="Times New Roman"/>
          <w:sz w:val="24"/>
          <w:szCs w:val="24"/>
          <w:lang w:val="ro-RO"/>
        </w:rPr>
        <w:t>vidența plantării și defr</w:t>
      </w:r>
      <w:r>
        <w:rPr>
          <w:rFonts w:ascii="Times New Roman" w:hAnsi="Times New Roman"/>
          <w:sz w:val="24"/>
          <w:szCs w:val="24"/>
          <w:lang w:val="ro-RO"/>
        </w:rPr>
        <w:t>ișării plantațiilor multianuale,</w:t>
      </w:r>
      <w:r w:rsidRPr="00AB7A26">
        <w:rPr>
          <w:rFonts w:ascii="Times New Roman" w:hAnsi="Times New Roman"/>
          <w:sz w:val="24"/>
          <w:szCs w:val="24"/>
          <w:lang w:val="ro-RO"/>
        </w:rPr>
        <w:t xml:space="preserve"> </w:t>
      </w:r>
    </w:p>
    <w:p w:rsidR="00AB7A26" w:rsidRPr="00AB7A26" w:rsidRDefault="00AB7A26" w:rsidP="00AB7A26">
      <w:pPr>
        <w:pStyle w:val="ac"/>
        <w:numPr>
          <w:ilvl w:val="0"/>
          <w:numId w:val="11"/>
        </w:numPr>
        <w:tabs>
          <w:tab w:val="center" w:pos="9870"/>
        </w:tabs>
        <w:spacing w:after="0"/>
        <w:ind w:right="141"/>
        <w:jc w:val="both"/>
        <w:rPr>
          <w:rFonts w:ascii="Times New Roman" w:hAnsi="Times New Roman"/>
          <w:sz w:val="24"/>
          <w:szCs w:val="24"/>
          <w:lang w:val="ro-RO"/>
        </w:rPr>
      </w:pPr>
      <w:r>
        <w:rPr>
          <w:rFonts w:ascii="Times New Roman" w:hAnsi="Times New Roman"/>
          <w:sz w:val="24"/>
          <w:szCs w:val="24"/>
          <w:lang w:val="ro-RO"/>
        </w:rPr>
        <w:t>m</w:t>
      </w:r>
      <w:r w:rsidRPr="00AB7A26">
        <w:rPr>
          <w:rFonts w:ascii="Times New Roman" w:hAnsi="Times New Roman"/>
          <w:sz w:val="24"/>
          <w:szCs w:val="24"/>
          <w:lang w:val="ro-RO"/>
        </w:rPr>
        <w:t>onitorizarea și generalizarea totalurilor obț</w:t>
      </w:r>
      <w:r>
        <w:rPr>
          <w:rFonts w:ascii="Times New Roman" w:hAnsi="Times New Roman"/>
          <w:sz w:val="24"/>
          <w:szCs w:val="24"/>
          <w:lang w:val="ro-RO"/>
        </w:rPr>
        <w:t>inute de producătorii agricoli,</w:t>
      </w:r>
    </w:p>
    <w:p w:rsidR="00AB7A26" w:rsidRPr="00AB7A26" w:rsidRDefault="00AB7A26" w:rsidP="00AB7A26">
      <w:pPr>
        <w:pStyle w:val="ac"/>
        <w:numPr>
          <w:ilvl w:val="0"/>
          <w:numId w:val="11"/>
        </w:numPr>
        <w:tabs>
          <w:tab w:val="center" w:pos="9870"/>
        </w:tabs>
        <w:spacing w:after="0"/>
        <w:jc w:val="both"/>
        <w:rPr>
          <w:rFonts w:ascii="Times New Roman" w:hAnsi="Times New Roman"/>
          <w:sz w:val="24"/>
          <w:szCs w:val="24"/>
          <w:lang w:val="ro-RO"/>
        </w:rPr>
      </w:pPr>
      <w:r>
        <w:rPr>
          <w:rFonts w:ascii="Times New Roman" w:hAnsi="Times New Roman"/>
          <w:sz w:val="24"/>
          <w:szCs w:val="24"/>
          <w:lang w:val="ro-RO"/>
        </w:rPr>
        <w:t>o</w:t>
      </w:r>
      <w:r w:rsidRPr="00AB7A26">
        <w:rPr>
          <w:rFonts w:ascii="Times New Roman" w:hAnsi="Times New Roman"/>
          <w:sz w:val="24"/>
          <w:szCs w:val="24"/>
          <w:lang w:val="ro-RO"/>
        </w:rPr>
        <w:t>rganizarea și petre</w:t>
      </w:r>
      <w:r>
        <w:rPr>
          <w:rFonts w:ascii="Times New Roman" w:hAnsi="Times New Roman"/>
          <w:sz w:val="24"/>
          <w:szCs w:val="24"/>
          <w:lang w:val="ro-RO"/>
        </w:rPr>
        <w:t>cerea sărbătorilor profesionale,</w:t>
      </w:r>
    </w:p>
    <w:p w:rsidR="00436705" w:rsidRPr="00317E27" w:rsidRDefault="00436705" w:rsidP="00AB7A26">
      <w:pPr>
        <w:pStyle w:val="aa"/>
        <w:numPr>
          <w:ilvl w:val="0"/>
          <w:numId w:val="1"/>
        </w:numPr>
        <w:ind w:left="851" w:hanging="284"/>
        <w:jc w:val="both"/>
        <w:rPr>
          <w:rFonts w:ascii="Times New Roman" w:hAnsi="Times New Roman"/>
          <w:sz w:val="24"/>
          <w:szCs w:val="24"/>
          <w:lang w:bidi="en-US"/>
        </w:rPr>
      </w:pPr>
      <w:r w:rsidRPr="00317E27">
        <w:rPr>
          <w:rFonts w:ascii="Times New Roman" w:hAnsi="Times New Roman"/>
          <w:sz w:val="24"/>
          <w:szCs w:val="24"/>
          <w:lang w:bidi="en-US"/>
        </w:rPr>
        <w:t>organizarea şi petrecerea   procedurilor de achiziţii  la bunuri, servicii şi lucrări  în conformitate cu legislaţia  în vigoare</w:t>
      </w:r>
    </w:p>
    <w:p w:rsidR="00436705" w:rsidRPr="00317E27" w:rsidRDefault="00436705" w:rsidP="00AB7A26">
      <w:pPr>
        <w:pStyle w:val="aa"/>
        <w:numPr>
          <w:ilvl w:val="0"/>
          <w:numId w:val="1"/>
        </w:numPr>
        <w:ind w:left="851" w:hanging="284"/>
        <w:jc w:val="both"/>
        <w:rPr>
          <w:rFonts w:ascii="Times New Roman" w:hAnsi="Times New Roman"/>
          <w:sz w:val="24"/>
          <w:szCs w:val="24"/>
          <w:lang w:val="ro-RO"/>
        </w:rPr>
      </w:pPr>
      <w:r w:rsidRPr="00317E27">
        <w:rPr>
          <w:rFonts w:ascii="Times New Roman" w:hAnsi="Times New Roman"/>
          <w:sz w:val="24"/>
          <w:szCs w:val="24"/>
          <w:lang w:val="ro-RO"/>
        </w:rPr>
        <w:t>pregătirea economiei raionale, complexului energetic şi a sferei sociale pentru activitatea în perioada de toamnă-iarnă 201</w:t>
      </w:r>
      <w:r>
        <w:rPr>
          <w:rFonts w:ascii="Times New Roman" w:hAnsi="Times New Roman"/>
          <w:sz w:val="24"/>
          <w:szCs w:val="24"/>
          <w:lang w:val="ro-RO"/>
        </w:rPr>
        <w:t>8</w:t>
      </w:r>
      <w:r w:rsidRPr="00317E27">
        <w:rPr>
          <w:rFonts w:ascii="Times New Roman" w:hAnsi="Times New Roman"/>
          <w:sz w:val="24"/>
          <w:szCs w:val="24"/>
          <w:lang w:val="ro-RO"/>
        </w:rPr>
        <w:t>-201</w:t>
      </w:r>
      <w:r>
        <w:rPr>
          <w:rFonts w:ascii="Times New Roman" w:hAnsi="Times New Roman"/>
          <w:sz w:val="24"/>
          <w:szCs w:val="24"/>
          <w:lang w:val="ro-RO"/>
        </w:rPr>
        <w:t>9</w:t>
      </w:r>
      <w:r w:rsidRPr="00317E27">
        <w:rPr>
          <w:rFonts w:ascii="Times New Roman" w:hAnsi="Times New Roman"/>
          <w:sz w:val="24"/>
          <w:szCs w:val="24"/>
          <w:lang w:val="ro-RO"/>
        </w:rPr>
        <w:t>.</w:t>
      </w:r>
    </w:p>
    <w:p w:rsidR="00436705" w:rsidRPr="00317E27" w:rsidRDefault="00436705" w:rsidP="00AB7A26">
      <w:pPr>
        <w:pStyle w:val="aa"/>
        <w:numPr>
          <w:ilvl w:val="0"/>
          <w:numId w:val="1"/>
        </w:numPr>
        <w:ind w:left="851" w:hanging="284"/>
        <w:jc w:val="both"/>
        <w:rPr>
          <w:rFonts w:ascii="Times New Roman" w:hAnsi="Times New Roman"/>
          <w:sz w:val="24"/>
          <w:szCs w:val="24"/>
          <w:lang w:val="ro-RO"/>
        </w:rPr>
      </w:pPr>
      <w:r w:rsidRPr="00317E27">
        <w:rPr>
          <w:rFonts w:ascii="Times New Roman" w:hAnsi="Times New Roman"/>
          <w:sz w:val="24"/>
          <w:szCs w:val="24"/>
        </w:rPr>
        <w:t>asigurarea administrării şi deetatizării proprietăţii publice  prin organizarea licitaţiilor, concursurilor şi negocierilor directe, organizarea şi realizarea programelor de privatizare, desfăşurarea procesului de privatizare a obiectelor patrimoniului public, ţinerea evidenţei patrimoniului public, inclusiv în societăţile economice cu participarea patrimoniului public (acţiuni, cote-părţi).</w:t>
      </w:r>
    </w:p>
    <w:p w:rsidR="00436705" w:rsidRDefault="003F641F" w:rsidP="002A1146">
      <w:pPr>
        <w:spacing w:after="0" w:line="240" w:lineRule="auto"/>
        <w:jc w:val="both"/>
        <w:rPr>
          <w:rFonts w:ascii="Times New Roman" w:eastAsia="Times New Roman" w:hAnsi="Times New Roman"/>
          <w:bCs/>
          <w:color w:val="000000"/>
          <w:sz w:val="24"/>
          <w:szCs w:val="24"/>
          <w:lang w:val="ro-RO"/>
        </w:rPr>
      </w:pPr>
      <w:r>
        <w:rPr>
          <w:rFonts w:ascii="Times New Roman" w:eastAsia="Times New Roman" w:hAnsi="Times New Roman"/>
          <w:bCs/>
          <w:color w:val="000000"/>
          <w:sz w:val="24"/>
          <w:szCs w:val="24"/>
        </w:rPr>
        <w:t xml:space="preserve">  </w:t>
      </w:r>
      <w:r w:rsidR="002A1146">
        <w:rPr>
          <w:rFonts w:ascii="Times New Roman" w:eastAsia="Times New Roman" w:hAnsi="Times New Roman"/>
          <w:bCs/>
          <w:color w:val="000000"/>
          <w:sz w:val="24"/>
          <w:szCs w:val="24"/>
        </w:rPr>
        <w:tab/>
      </w:r>
      <w:r w:rsidR="00436705" w:rsidRPr="00317E27">
        <w:rPr>
          <w:rFonts w:ascii="Times New Roman" w:eastAsia="Times New Roman" w:hAnsi="Times New Roman"/>
          <w:bCs/>
          <w:iCs/>
          <w:color w:val="222222"/>
          <w:sz w:val="24"/>
          <w:szCs w:val="24"/>
          <w:lang w:val="ro-RO" w:eastAsia="ru-RU"/>
        </w:rPr>
        <w:t xml:space="preserve">   </w:t>
      </w:r>
      <w:r w:rsidR="00436705" w:rsidRPr="00317E27">
        <w:rPr>
          <w:rFonts w:ascii="Times New Roman" w:eastAsia="Times New Roman" w:hAnsi="Times New Roman"/>
          <w:bCs/>
          <w:color w:val="000000"/>
          <w:sz w:val="24"/>
          <w:szCs w:val="24"/>
        </w:rPr>
        <w:t xml:space="preserve">În scopul promovării politicilor privind buna funcţionare </w:t>
      </w:r>
      <w:proofErr w:type="gramStart"/>
      <w:r w:rsidR="00436705" w:rsidRPr="00317E27">
        <w:rPr>
          <w:rFonts w:ascii="Times New Roman" w:eastAsia="Times New Roman" w:hAnsi="Times New Roman"/>
          <w:bCs/>
          <w:color w:val="000000"/>
          <w:sz w:val="24"/>
          <w:szCs w:val="24"/>
        </w:rPr>
        <w:t>a</w:t>
      </w:r>
      <w:proofErr w:type="gramEnd"/>
      <w:r w:rsidR="00436705" w:rsidRPr="00317E27">
        <w:rPr>
          <w:rFonts w:ascii="Times New Roman" w:eastAsia="Times New Roman" w:hAnsi="Times New Roman"/>
          <w:bCs/>
          <w:color w:val="000000"/>
          <w:sz w:val="24"/>
          <w:szCs w:val="24"/>
        </w:rPr>
        <w:t xml:space="preserve"> economiei raionale în condiţiile actuale s-a efectuat analiza şi s-au sistematizat informaţii privind situa</w:t>
      </w:r>
      <w:r w:rsidR="00436705" w:rsidRPr="00317E27">
        <w:rPr>
          <w:rFonts w:ascii="Times New Roman" w:eastAsia="Times New Roman" w:hAnsi="Times New Roman"/>
          <w:bCs/>
          <w:color w:val="000000"/>
          <w:sz w:val="24"/>
          <w:szCs w:val="24"/>
          <w:lang w:val="ro-RO"/>
        </w:rPr>
        <w:t>ţia socio-economică a raionului Cahul.</w:t>
      </w:r>
    </w:p>
    <w:p w:rsidR="006D0EC1" w:rsidRPr="006D0EC1" w:rsidRDefault="006D0EC1" w:rsidP="006D0EC1">
      <w:pPr>
        <w:pStyle w:val="aa"/>
        <w:jc w:val="both"/>
        <w:rPr>
          <w:rFonts w:ascii="Times New Roman" w:hAnsi="Times New Roman"/>
          <w:i/>
          <w:sz w:val="24"/>
          <w:szCs w:val="24"/>
          <w:u w:val="single"/>
          <w:lang w:val="ro-RO"/>
        </w:rPr>
      </w:pPr>
      <w:r w:rsidRPr="006D0EC1">
        <w:rPr>
          <w:rFonts w:ascii="Times New Roman" w:hAnsi="Times New Roman"/>
          <w:b/>
          <w:sz w:val="24"/>
          <w:szCs w:val="24"/>
          <w:lang w:val="ro-RO"/>
        </w:rPr>
        <w:t>Situația demografică</w:t>
      </w:r>
      <w:r w:rsidR="008C7DFC">
        <w:rPr>
          <w:rFonts w:ascii="Times New Roman" w:hAnsi="Times New Roman"/>
          <w:b/>
          <w:sz w:val="24"/>
          <w:szCs w:val="24"/>
          <w:lang w:val="ro-RO"/>
        </w:rPr>
        <w:t>,</w:t>
      </w:r>
      <w:r w:rsidRPr="006D0EC1">
        <w:rPr>
          <w:rFonts w:ascii="Times New Roman" w:hAnsi="Times New Roman"/>
          <w:sz w:val="24"/>
          <w:szCs w:val="24"/>
          <w:lang w:val="ro-RO"/>
        </w:rPr>
        <w:t xml:space="preserve"> în </w:t>
      </w:r>
      <w:r w:rsidR="008C7DFC">
        <w:rPr>
          <w:rFonts w:ascii="Times New Roman" w:hAnsi="Times New Roman"/>
          <w:sz w:val="24"/>
          <w:szCs w:val="24"/>
          <w:lang w:val="ro-RO"/>
        </w:rPr>
        <w:t>anul</w:t>
      </w:r>
      <w:r w:rsidRPr="006D0EC1">
        <w:rPr>
          <w:rFonts w:ascii="Times New Roman" w:hAnsi="Times New Roman"/>
          <w:sz w:val="24"/>
          <w:szCs w:val="24"/>
          <w:lang w:val="ro-RO"/>
        </w:rPr>
        <w:t xml:space="preserve"> </w:t>
      </w:r>
      <w:r w:rsidR="008C7DFC">
        <w:rPr>
          <w:rFonts w:ascii="Times New Roman" w:hAnsi="Times New Roman"/>
          <w:sz w:val="24"/>
          <w:szCs w:val="24"/>
          <w:lang w:val="ro-RO"/>
        </w:rPr>
        <w:t xml:space="preserve">2018 faţă de anul precedent, </w:t>
      </w:r>
      <w:r w:rsidRPr="006D0EC1">
        <w:rPr>
          <w:rFonts w:ascii="Times New Roman" w:hAnsi="Times New Roman"/>
          <w:sz w:val="24"/>
          <w:szCs w:val="24"/>
          <w:lang w:val="ro-RO"/>
        </w:rPr>
        <w:t>a fost determinată de o descreștere</w:t>
      </w:r>
      <w:r w:rsidR="001A1AC8">
        <w:rPr>
          <w:rFonts w:ascii="Times New Roman" w:hAnsi="Times New Roman"/>
          <w:sz w:val="24"/>
          <w:szCs w:val="24"/>
          <w:lang w:val="ro-RO"/>
        </w:rPr>
        <w:t xml:space="preserve"> a nivelului natalității </w:t>
      </w:r>
      <w:r w:rsidRPr="006D0EC1">
        <w:rPr>
          <w:rFonts w:ascii="Times New Roman" w:hAnsi="Times New Roman"/>
          <w:sz w:val="24"/>
          <w:szCs w:val="24"/>
          <w:lang w:val="ro-RO"/>
        </w:rPr>
        <w:t>cu 9,8 la sută și o creștere a nivelului mortalității cu 7,4 la sută. De</w:t>
      </w:r>
      <w:r w:rsidR="001A1AC8">
        <w:rPr>
          <w:rFonts w:ascii="Times New Roman" w:hAnsi="Times New Roman"/>
          <w:sz w:val="24"/>
          <w:szCs w:val="24"/>
          <w:lang w:val="ro-RO"/>
        </w:rPr>
        <w:t xml:space="preserve"> </w:t>
      </w:r>
      <w:r w:rsidRPr="006D0EC1">
        <w:rPr>
          <w:rFonts w:ascii="Times New Roman" w:hAnsi="Times New Roman"/>
          <w:sz w:val="24"/>
          <w:szCs w:val="24"/>
          <w:lang w:val="ro-RO"/>
        </w:rPr>
        <w:t>asemenea a fost înregistrată o creștere a nivelului nupțialității cu 6,1 la sută și divorțialității  cu 34,0</w:t>
      </w:r>
      <w:r w:rsidR="008C7DFC">
        <w:rPr>
          <w:rFonts w:ascii="Times New Roman" w:hAnsi="Times New Roman"/>
          <w:sz w:val="24"/>
          <w:szCs w:val="24"/>
          <w:lang w:val="ro-RO"/>
        </w:rPr>
        <w:t xml:space="preserve"> la sută</w:t>
      </w:r>
      <w:r w:rsidRPr="006D0EC1">
        <w:rPr>
          <w:rFonts w:ascii="Times New Roman" w:hAnsi="Times New Roman"/>
          <w:sz w:val="24"/>
          <w:szCs w:val="24"/>
          <w:lang w:val="ro-RO"/>
        </w:rPr>
        <w:t xml:space="preserve"> respectiv.</w:t>
      </w:r>
      <w:r w:rsidRPr="006D0EC1">
        <w:rPr>
          <w:rFonts w:ascii="Times New Roman" w:hAnsi="Times New Roman"/>
          <w:i/>
          <w:sz w:val="24"/>
          <w:szCs w:val="24"/>
          <w:u w:val="single"/>
          <w:lang w:val="ro-RO"/>
        </w:rPr>
        <w:t xml:space="preserve"> </w:t>
      </w:r>
    </w:p>
    <w:p w:rsidR="00F276BD" w:rsidRPr="00AB7A26" w:rsidRDefault="006D0EC1" w:rsidP="00AB7A26">
      <w:pPr>
        <w:pStyle w:val="aa"/>
        <w:jc w:val="both"/>
        <w:rPr>
          <w:rFonts w:ascii="Times New Roman" w:hAnsi="Times New Roman"/>
          <w:sz w:val="24"/>
          <w:szCs w:val="24"/>
          <w:lang w:val="ro-RO"/>
        </w:rPr>
      </w:pPr>
      <w:r w:rsidRPr="00AB7A26">
        <w:rPr>
          <w:rFonts w:ascii="Times New Roman" w:hAnsi="Times New Roman"/>
          <w:b/>
          <w:sz w:val="24"/>
          <w:szCs w:val="24"/>
          <w:lang w:val="ro-RO"/>
        </w:rPr>
        <w:t>Câștigul salarial mediu lunar nominal brut</w:t>
      </w:r>
      <w:r w:rsidRPr="00AB7A26">
        <w:rPr>
          <w:rFonts w:ascii="Times New Roman" w:hAnsi="Times New Roman"/>
          <w:sz w:val="24"/>
          <w:szCs w:val="24"/>
          <w:lang w:val="ro-RO"/>
        </w:rPr>
        <w:t xml:space="preserve"> al unui angajat în trimestrul IV 2018 a fost de 5 876,8 lei, sporind față de aceeași perioadă a anului precedent cu 17,8 %, dar fiind cu 18,9% mai mic comparativ cu câștigul salarial mediu pe țară.</w:t>
      </w:r>
    </w:p>
    <w:p w:rsidR="00F276BD" w:rsidRPr="00AB7A26" w:rsidRDefault="006D0EC1" w:rsidP="00AB7A26">
      <w:pPr>
        <w:pStyle w:val="aa"/>
        <w:jc w:val="both"/>
        <w:rPr>
          <w:rFonts w:ascii="Times New Roman" w:hAnsi="Times New Roman"/>
          <w:sz w:val="24"/>
          <w:szCs w:val="24"/>
          <w:lang w:val="ro-RO"/>
        </w:rPr>
      </w:pPr>
      <w:r w:rsidRPr="00AB7A26">
        <w:rPr>
          <w:rFonts w:ascii="Times New Roman" w:hAnsi="Times New Roman"/>
          <w:sz w:val="24"/>
          <w:szCs w:val="24"/>
          <w:lang w:val="ro-RO"/>
        </w:rPr>
        <w:t xml:space="preserve"> </w:t>
      </w:r>
      <w:r w:rsidR="00F276BD" w:rsidRPr="00AB7A26">
        <w:rPr>
          <w:rFonts w:ascii="Times New Roman" w:hAnsi="Times New Roman"/>
          <w:sz w:val="24"/>
          <w:szCs w:val="24"/>
          <w:lang w:val="ro-RO"/>
        </w:rPr>
        <w:t>În sfera bugetară în trimestrul IV 2018 salariul mediu lunar a constituit 5992,3 cu 11,9% mai mare față de trimestrul IV 2017, iar in sectorul economic (real) acest indicator a constituit 5782,9 lei și s-a mărit cu 5,1 % față de cel înregistrat în aceeași perioadă a anului trecut.</w:t>
      </w:r>
    </w:p>
    <w:p w:rsidR="00F276BD" w:rsidRPr="00AB7A26" w:rsidRDefault="006D0EC1" w:rsidP="00AB7A26">
      <w:pPr>
        <w:pStyle w:val="aa"/>
        <w:jc w:val="both"/>
        <w:rPr>
          <w:rFonts w:ascii="Times New Roman" w:hAnsi="Times New Roman"/>
          <w:sz w:val="24"/>
          <w:szCs w:val="24"/>
          <w:lang w:val="ro-RO"/>
        </w:rPr>
      </w:pPr>
      <w:r w:rsidRPr="00AB7A26">
        <w:rPr>
          <w:rFonts w:ascii="Times New Roman" w:hAnsi="Times New Roman"/>
          <w:b/>
          <w:sz w:val="24"/>
          <w:szCs w:val="24"/>
          <w:lang w:val="ro-RO"/>
        </w:rPr>
        <w:t>Numărul șomerilor oficial înregistrați,</w:t>
      </w:r>
      <w:r w:rsidRPr="00AB7A26">
        <w:rPr>
          <w:rFonts w:ascii="Times New Roman" w:hAnsi="Times New Roman"/>
          <w:sz w:val="24"/>
          <w:szCs w:val="24"/>
          <w:lang w:val="ro-RO"/>
        </w:rPr>
        <w:t xml:space="preserve"> conform datelor Agenției Naționale pentru Ocuparea Forței de Muncă, la 31 decembrie 2018 a constituit 1304 persoane, majorându-se de 2,0 ori comparativ cu 31 decembrie 2017. Numărul șomerilor aflați la evidență la 1 octombrie 2018 a fost de 861 persoane.</w:t>
      </w:r>
      <w:r w:rsidR="00F276BD" w:rsidRPr="00AB7A26">
        <w:rPr>
          <w:rFonts w:ascii="Times New Roman" w:hAnsi="Times New Roman"/>
          <w:sz w:val="24"/>
          <w:szCs w:val="24"/>
          <w:lang w:val="ro-RO"/>
        </w:rPr>
        <w:t xml:space="preserve"> Din numărul total de şomeri, 42,2 la sută o constituie femeile. Parte preponderentă in cheltuielile Fondului de Șomaj (41,2%) revine cheltuielilor pentru acordarea ajutorului de șomaj. Mărimea medie a ajutorului de șomaj in perioada de raport a constituit 1034,76lei</w:t>
      </w:r>
    </w:p>
    <w:p w:rsidR="00A01351" w:rsidRPr="00AB7A26" w:rsidRDefault="006D0EC1" w:rsidP="00AB7A26">
      <w:pPr>
        <w:pStyle w:val="aa"/>
        <w:jc w:val="both"/>
        <w:rPr>
          <w:rFonts w:ascii="Times New Roman" w:hAnsi="Times New Roman"/>
          <w:sz w:val="24"/>
          <w:szCs w:val="24"/>
          <w:lang w:val="ro-RO"/>
        </w:rPr>
      </w:pPr>
      <w:r w:rsidRPr="00AB7A26">
        <w:rPr>
          <w:rFonts w:ascii="Times New Roman" w:hAnsi="Times New Roman"/>
          <w:b/>
          <w:sz w:val="24"/>
          <w:szCs w:val="24"/>
          <w:lang w:val="ro-RO"/>
        </w:rPr>
        <w:t xml:space="preserve">Investițiile în active imobilizate </w:t>
      </w:r>
      <w:r w:rsidRPr="00AB7A26">
        <w:rPr>
          <w:rFonts w:ascii="Times New Roman" w:hAnsi="Times New Roman"/>
          <w:sz w:val="24"/>
          <w:szCs w:val="24"/>
          <w:lang w:val="ro-RO"/>
        </w:rPr>
        <w:t>din contul tuturor surselor de finanțare realizate în perioada de raport au însumat 544,1 mil. lei, majorându-se cu 60,3 % față de ianuarie-decembrie 2017. Sursa principală de finanțare a investițiilor a fost credite și împrumuturi, ponderea cărora a constituit 42,8%.</w:t>
      </w:r>
      <w:r w:rsidR="00A01351" w:rsidRPr="00AB7A26">
        <w:rPr>
          <w:rFonts w:ascii="Times New Roman" w:hAnsi="Times New Roman"/>
          <w:sz w:val="24"/>
          <w:szCs w:val="24"/>
          <w:lang w:val="ro-RO"/>
        </w:rPr>
        <w:t xml:space="preserve"> </w:t>
      </w:r>
    </w:p>
    <w:p w:rsidR="00A01351" w:rsidRPr="00AB7A26" w:rsidRDefault="00A01351" w:rsidP="00AB7A26">
      <w:pPr>
        <w:pStyle w:val="aa"/>
        <w:jc w:val="both"/>
        <w:rPr>
          <w:rFonts w:ascii="Times New Roman" w:hAnsi="Times New Roman"/>
          <w:sz w:val="24"/>
          <w:szCs w:val="24"/>
          <w:lang w:val="ro-RO"/>
        </w:rPr>
      </w:pPr>
      <w:r w:rsidRPr="00AB7A26">
        <w:rPr>
          <w:rFonts w:ascii="Times New Roman" w:hAnsi="Times New Roman"/>
          <w:sz w:val="24"/>
          <w:szCs w:val="24"/>
          <w:lang w:val="ro-RO"/>
        </w:rPr>
        <w:t xml:space="preserve">Investițiile în imobilizări necorporale au înregistrat o  scădere cu 77,2% față de anul 2017. Investițiile în imobilizările corporale au însumat 543,7 mil. lei, fiind în creștere cu 61,1% față de </w:t>
      </w:r>
      <w:r w:rsidRPr="00AB7A26">
        <w:rPr>
          <w:rFonts w:ascii="Times New Roman" w:hAnsi="Times New Roman"/>
          <w:sz w:val="24"/>
          <w:szCs w:val="24"/>
          <w:lang w:val="ro-RO"/>
        </w:rPr>
        <w:lastRenderedPageBreak/>
        <w:t>anul precedent. Din total investiții realizate, în anul 2018, cea mai mare pondere revine investițiilor în clădiri nerezidențiale care a constituit 264,0 mln.lei sau 48,5 % şi investiţiilor de maşini, utilaje, instalaţii de transmisie în sumă de 133,2 mln.lei sau 24,5%.</w:t>
      </w:r>
    </w:p>
    <w:p w:rsidR="00F276BD" w:rsidRPr="00DB5A0B" w:rsidRDefault="00F276BD" w:rsidP="00F276BD">
      <w:pPr>
        <w:pStyle w:val="aa"/>
        <w:jc w:val="both"/>
        <w:rPr>
          <w:rFonts w:ascii="Times New Roman" w:hAnsi="Times New Roman"/>
          <w:sz w:val="24"/>
          <w:szCs w:val="24"/>
          <w:lang w:val="ro-RO"/>
        </w:rPr>
      </w:pPr>
      <w:r w:rsidRPr="00DB5A0B">
        <w:rPr>
          <w:rFonts w:ascii="Times New Roman" w:hAnsi="Times New Roman"/>
          <w:b/>
          <w:sz w:val="24"/>
          <w:szCs w:val="24"/>
          <w:lang w:val="ro-RO"/>
        </w:rPr>
        <w:t>Investiții în active imobilizate pe surse de finanțare.</w:t>
      </w:r>
      <w:r w:rsidRPr="00DB5A0B">
        <w:rPr>
          <w:rFonts w:ascii="Times New Roman" w:hAnsi="Times New Roman"/>
          <w:sz w:val="24"/>
          <w:szCs w:val="24"/>
          <w:lang w:val="ro-RO"/>
        </w:rPr>
        <w:t xml:space="preserve"> Pentru realizarea procesului investițional, în anul 2018, au fost utilizate preponderent credite și împrumuturi, care au constituit 233,1 mil. lei, reprezentând 42,8% din valoarea totală a mijloacelor utilizate pentru realizarea investițiilor.</w:t>
      </w:r>
    </w:p>
    <w:p w:rsidR="00F276BD" w:rsidRPr="00DB5A0B" w:rsidRDefault="00F276BD" w:rsidP="00F276BD">
      <w:pPr>
        <w:tabs>
          <w:tab w:val="left" w:pos="360"/>
          <w:tab w:val="left" w:pos="540"/>
          <w:tab w:val="left" w:pos="720"/>
          <w:tab w:val="left" w:pos="900"/>
        </w:tabs>
        <w:spacing w:line="360" w:lineRule="auto"/>
        <w:ind w:firstLine="540"/>
        <w:jc w:val="center"/>
        <w:rPr>
          <w:b/>
          <w:i/>
          <w:lang w:val="ro-RO"/>
        </w:rPr>
      </w:pPr>
      <w:r w:rsidRPr="00DB5A0B">
        <w:rPr>
          <w:b/>
          <w:i/>
          <w:lang w:val="ro-RO"/>
        </w:rPr>
        <w:t>Structura investițiilor în active imobilizate pe surse de finanțare în anul 2018</w:t>
      </w:r>
    </w:p>
    <w:tbl>
      <w:tblPr>
        <w:tblW w:w="93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33"/>
        <w:gridCol w:w="1866"/>
        <w:gridCol w:w="1733"/>
        <w:gridCol w:w="1600"/>
      </w:tblGrid>
      <w:tr w:rsidR="00F276BD" w:rsidRPr="00B23E4E" w:rsidTr="00760596">
        <w:trPr>
          <w:trHeight w:val="534"/>
        </w:trPr>
        <w:tc>
          <w:tcPr>
            <w:tcW w:w="4133" w:type="dxa"/>
            <w:vMerge w:val="restart"/>
            <w:tcBorders>
              <w:left w:val="nil"/>
            </w:tcBorders>
          </w:tcPr>
          <w:p w:rsidR="00F276BD" w:rsidRPr="00DB5A0B" w:rsidRDefault="00F276BD" w:rsidP="00760596">
            <w:pPr>
              <w:jc w:val="both"/>
              <w:rPr>
                <w:rFonts w:ascii="Arial" w:hAnsi="Arial" w:cs="Arial"/>
                <w:b/>
                <w:lang w:val="ro-RO"/>
              </w:rPr>
            </w:pPr>
          </w:p>
        </w:tc>
        <w:tc>
          <w:tcPr>
            <w:tcW w:w="1866" w:type="dxa"/>
            <w:vMerge w:val="restart"/>
            <w:vAlign w:val="center"/>
          </w:tcPr>
          <w:p w:rsidR="00F276BD" w:rsidRPr="00DB5A0B" w:rsidRDefault="00F276BD" w:rsidP="00760596">
            <w:pPr>
              <w:pStyle w:val="aa"/>
              <w:jc w:val="center"/>
              <w:rPr>
                <w:rFonts w:ascii="Times New Roman" w:hAnsi="Times New Roman"/>
                <w:b/>
                <w:sz w:val="24"/>
                <w:szCs w:val="24"/>
                <w:lang w:val="ro-RO"/>
              </w:rPr>
            </w:pPr>
            <w:r w:rsidRPr="00DB5A0B">
              <w:rPr>
                <w:rFonts w:ascii="Times New Roman" w:hAnsi="Times New Roman"/>
                <w:b/>
                <w:sz w:val="24"/>
                <w:szCs w:val="24"/>
                <w:lang w:val="ro-RO"/>
              </w:rPr>
              <w:t>Realizări,</w:t>
            </w:r>
          </w:p>
          <w:p w:rsidR="00F276BD" w:rsidRPr="00DB5A0B" w:rsidRDefault="00F276BD" w:rsidP="00760596">
            <w:pPr>
              <w:pStyle w:val="aa"/>
              <w:jc w:val="center"/>
              <w:rPr>
                <w:rFonts w:ascii="Times New Roman" w:hAnsi="Times New Roman"/>
                <w:b/>
                <w:sz w:val="24"/>
                <w:szCs w:val="24"/>
                <w:lang w:val="ro-RO"/>
              </w:rPr>
            </w:pPr>
            <w:r w:rsidRPr="00DB5A0B">
              <w:rPr>
                <w:rFonts w:ascii="Times New Roman" w:hAnsi="Times New Roman"/>
                <w:b/>
                <w:sz w:val="24"/>
                <w:szCs w:val="24"/>
                <w:lang w:val="ro-RO"/>
              </w:rPr>
              <w:t>mil. lei</w:t>
            </w:r>
          </w:p>
        </w:tc>
        <w:tc>
          <w:tcPr>
            <w:tcW w:w="3333" w:type="dxa"/>
            <w:gridSpan w:val="2"/>
            <w:tcBorders>
              <w:right w:val="nil"/>
            </w:tcBorders>
            <w:vAlign w:val="center"/>
          </w:tcPr>
          <w:p w:rsidR="00F276BD" w:rsidRPr="00DB5A0B" w:rsidRDefault="00F276BD" w:rsidP="00760596">
            <w:pPr>
              <w:pStyle w:val="aa"/>
              <w:rPr>
                <w:rFonts w:ascii="Times New Roman" w:hAnsi="Times New Roman"/>
                <w:b/>
                <w:sz w:val="24"/>
                <w:szCs w:val="24"/>
                <w:lang w:val="ro-RO"/>
              </w:rPr>
            </w:pPr>
            <w:r w:rsidRPr="00DB5A0B">
              <w:rPr>
                <w:rFonts w:ascii="Times New Roman" w:hAnsi="Times New Roman"/>
                <w:b/>
                <w:sz w:val="24"/>
                <w:szCs w:val="24"/>
                <w:lang w:val="ro-RO"/>
              </w:rPr>
              <w:t>În % față de:</w:t>
            </w:r>
          </w:p>
        </w:tc>
      </w:tr>
      <w:tr w:rsidR="00F276BD" w:rsidRPr="00B23E4E" w:rsidTr="00760596">
        <w:trPr>
          <w:trHeight w:val="442"/>
        </w:trPr>
        <w:tc>
          <w:tcPr>
            <w:tcW w:w="4133" w:type="dxa"/>
            <w:vMerge/>
            <w:tcBorders>
              <w:left w:val="nil"/>
              <w:bottom w:val="single" w:sz="4" w:space="0" w:color="auto"/>
            </w:tcBorders>
          </w:tcPr>
          <w:p w:rsidR="00F276BD" w:rsidRPr="00DB5A0B" w:rsidRDefault="00F276BD" w:rsidP="00760596">
            <w:pPr>
              <w:jc w:val="both"/>
              <w:rPr>
                <w:rFonts w:ascii="Arial" w:hAnsi="Arial" w:cs="Arial"/>
                <w:b/>
                <w:lang w:val="ro-RO"/>
              </w:rPr>
            </w:pPr>
          </w:p>
        </w:tc>
        <w:tc>
          <w:tcPr>
            <w:tcW w:w="1866" w:type="dxa"/>
            <w:vMerge/>
            <w:tcBorders>
              <w:bottom w:val="single" w:sz="4" w:space="0" w:color="auto"/>
            </w:tcBorders>
            <w:vAlign w:val="center"/>
          </w:tcPr>
          <w:p w:rsidR="00F276BD" w:rsidRPr="00DB5A0B" w:rsidRDefault="00F276BD" w:rsidP="00760596">
            <w:pPr>
              <w:pStyle w:val="aa"/>
              <w:rPr>
                <w:rFonts w:ascii="Times New Roman" w:hAnsi="Times New Roman"/>
                <w:b/>
                <w:sz w:val="24"/>
                <w:szCs w:val="24"/>
                <w:lang w:val="ro-RO"/>
              </w:rPr>
            </w:pPr>
          </w:p>
        </w:tc>
        <w:tc>
          <w:tcPr>
            <w:tcW w:w="1733" w:type="dxa"/>
            <w:tcBorders>
              <w:bottom w:val="single" w:sz="4" w:space="0" w:color="auto"/>
            </w:tcBorders>
            <w:vAlign w:val="center"/>
          </w:tcPr>
          <w:p w:rsidR="00F276BD" w:rsidRPr="00DB5A0B" w:rsidRDefault="00F276BD" w:rsidP="00760596">
            <w:pPr>
              <w:pStyle w:val="aa"/>
              <w:rPr>
                <w:rFonts w:ascii="Times New Roman" w:hAnsi="Times New Roman"/>
                <w:b/>
                <w:sz w:val="24"/>
                <w:szCs w:val="24"/>
                <w:lang w:val="ro-RO"/>
              </w:rPr>
            </w:pPr>
            <w:r>
              <w:rPr>
                <w:rFonts w:ascii="Times New Roman" w:hAnsi="Times New Roman"/>
                <w:b/>
                <w:sz w:val="24"/>
                <w:szCs w:val="24"/>
                <w:lang w:val="ro-RO"/>
              </w:rPr>
              <w:t>Anul</w:t>
            </w:r>
            <w:r w:rsidRPr="00DB5A0B">
              <w:rPr>
                <w:rFonts w:ascii="Times New Roman" w:hAnsi="Times New Roman"/>
                <w:b/>
                <w:sz w:val="24"/>
                <w:szCs w:val="24"/>
                <w:lang w:val="ro-RO"/>
              </w:rPr>
              <w:t xml:space="preserve"> 2017</w:t>
            </w:r>
          </w:p>
        </w:tc>
        <w:tc>
          <w:tcPr>
            <w:tcW w:w="1599" w:type="dxa"/>
            <w:tcBorders>
              <w:bottom w:val="single" w:sz="4" w:space="0" w:color="auto"/>
              <w:right w:val="nil"/>
            </w:tcBorders>
            <w:vAlign w:val="center"/>
          </w:tcPr>
          <w:p w:rsidR="00F276BD" w:rsidRPr="00DB5A0B" w:rsidRDefault="00F276BD" w:rsidP="00760596">
            <w:pPr>
              <w:pStyle w:val="aa"/>
              <w:rPr>
                <w:rFonts w:ascii="Times New Roman" w:hAnsi="Times New Roman"/>
                <w:b/>
                <w:sz w:val="24"/>
                <w:szCs w:val="24"/>
                <w:lang w:val="ro-RO"/>
              </w:rPr>
            </w:pPr>
            <w:r>
              <w:rPr>
                <w:rFonts w:ascii="Times New Roman" w:hAnsi="Times New Roman"/>
                <w:b/>
                <w:sz w:val="24"/>
                <w:szCs w:val="24"/>
                <w:lang w:val="ro-RO"/>
              </w:rPr>
              <w:t>T</w:t>
            </w:r>
            <w:r w:rsidRPr="00DB5A0B">
              <w:rPr>
                <w:rFonts w:ascii="Times New Roman" w:hAnsi="Times New Roman"/>
                <w:b/>
                <w:sz w:val="24"/>
                <w:szCs w:val="24"/>
                <w:lang w:val="ro-RO"/>
              </w:rPr>
              <w:t>otal</w:t>
            </w:r>
          </w:p>
        </w:tc>
      </w:tr>
      <w:tr w:rsidR="00F276BD" w:rsidRPr="00B23E4E" w:rsidTr="00760596">
        <w:trPr>
          <w:trHeight w:val="193"/>
        </w:trPr>
        <w:tc>
          <w:tcPr>
            <w:tcW w:w="4133" w:type="dxa"/>
            <w:tcBorders>
              <w:left w:val="nil"/>
              <w:bottom w:val="nil"/>
              <w:right w:val="single" w:sz="4" w:space="0" w:color="auto"/>
            </w:tcBorders>
          </w:tcPr>
          <w:p w:rsidR="00F276BD" w:rsidRPr="00B23E4E" w:rsidRDefault="00F276BD" w:rsidP="00760596">
            <w:pPr>
              <w:spacing w:before="40"/>
              <w:jc w:val="both"/>
              <w:rPr>
                <w:rFonts w:ascii="Arial" w:hAnsi="Arial" w:cs="Arial"/>
                <w:sz w:val="18"/>
                <w:szCs w:val="18"/>
                <w:lang w:val="ro-RO"/>
              </w:rPr>
            </w:pPr>
            <w:r w:rsidRPr="00B23E4E">
              <w:rPr>
                <w:rFonts w:cs="Arial"/>
                <w:b/>
                <w:szCs w:val="18"/>
                <w:lang w:val="ro-RO"/>
              </w:rPr>
              <w:t>Investiții în active imobilizate - total</w:t>
            </w:r>
          </w:p>
        </w:tc>
        <w:tc>
          <w:tcPr>
            <w:tcW w:w="1866" w:type="dxa"/>
            <w:tcBorders>
              <w:left w:val="single" w:sz="4" w:space="0" w:color="auto"/>
              <w:bottom w:val="nil"/>
              <w:right w:val="nil"/>
            </w:tcBorders>
          </w:tcPr>
          <w:p w:rsidR="00F276BD" w:rsidRPr="00B23E4E" w:rsidRDefault="00F276BD" w:rsidP="00760596">
            <w:pPr>
              <w:spacing w:before="40"/>
              <w:ind w:right="175"/>
              <w:jc w:val="center"/>
              <w:rPr>
                <w:rFonts w:ascii="Arial" w:hAnsi="Arial" w:cs="Arial"/>
                <w:b/>
                <w:sz w:val="18"/>
                <w:szCs w:val="18"/>
                <w:lang w:val="ro-RO"/>
              </w:rPr>
            </w:pPr>
            <w:r>
              <w:rPr>
                <w:rFonts w:cs="Arial"/>
                <w:b/>
                <w:szCs w:val="18"/>
                <w:lang w:val="ro-RO"/>
              </w:rPr>
              <w:t>544,1</w:t>
            </w:r>
          </w:p>
        </w:tc>
        <w:tc>
          <w:tcPr>
            <w:tcW w:w="1733" w:type="dxa"/>
            <w:tcBorders>
              <w:left w:val="nil"/>
              <w:bottom w:val="nil"/>
              <w:right w:val="nil"/>
            </w:tcBorders>
          </w:tcPr>
          <w:p w:rsidR="00F276BD" w:rsidRPr="00B23E4E" w:rsidRDefault="00F276BD" w:rsidP="00760596">
            <w:pPr>
              <w:spacing w:before="40"/>
              <w:ind w:right="176"/>
              <w:jc w:val="center"/>
              <w:rPr>
                <w:rFonts w:ascii="Arial" w:hAnsi="Arial" w:cs="Arial"/>
                <w:b/>
                <w:bCs/>
                <w:sz w:val="18"/>
                <w:szCs w:val="18"/>
                <w:lang w:val="ro-RO"/>
              </w:rPr>
            </w:pPr>
            <w:r>
              <w:rPr>
                <w:rFonts w:cs="Arial"/>
                <w:b/>
                <w:bCs/>
                <w:szCs w:val="18"/>
                <w:lang w:val="ro-RO"/>
              </w:rPr>
              <w:t>160,3</w:t>
            </w:r>
          </w:p>
        </w:tc>
        <w:tc>
          <w:tcPr>
            <w:tcW w:w="1599" w:type="dxa"/>
            <w:tcBorders>
              <w:left w:val="nil"/>
              <w:bottom w:val="nil"/>
              <w:right w:val="nil"/>
            </w:tcBorders>
          </w:tcPr>
          <w:p w:rsidR="00F276BD" w:rsidRPr="00B23E4E" w:rsidRDefault="00F276BD" w:rsidP="00760596">
            <w:pPr>
              <w:spacing w:before="40"/>
              <w:ind w:right="176"/>
              <w:jc w:val="center"/>
              <w:rPr>
                <w:rFonts w:cs="Arial"/>
                <w:b/>
                <w:bCs/>
                <w:szCs w:val="18"/>
                <w:lang w:val="ro-RO"/>
              </w:rPr>
            </w:pPr>
            <w:r w:rsidRPr="00B23E4E">
              <w:rPr>
                <w:rFonts w:cs="Arial"/>
                <w:b/>
                <w:bCs/>
                <w:szCs w:val="18"/>
                <w:lang w:val="ro-RO"/>
              </w:rPr>
              <w:t>100,0</w:t>
            </w:r>
          </w:p>
        </w:tc>
      </w:tr>
      <w:tr w:rsidR="00F276BD" w:rsidRPr="00B23E4E" w:rsidTr="00760596">
        <w:trPr>
          <w:trHeight w:val="364"/>
        </w:trPr>
        <w:tc>
          <w:tcPr>
            <w:tcW w:w="4133" w:type="dxa"/>
            <w:tcBorders>
              <w:top w:val="nil"/>
              <w:left w:val="nil"/>
              <w:bottom w:val="nil"/>
              <w:right w:val="single" w:sz="4" w:space="0" w:color="auto"/>
            </w:tcBorders>
          </w:tcPr>
          <w:p w:rsidR="00F276BD" w:rsidRPr="00DB5A0B" w:rsidRDefault="00F276BD" w:rsidP="00760596">
            <w:pPr>
              <w:pStyle w:val="aa"/>
              <w:rPr>
                <w:rFonts w:ascii="Times New Roman" w:hAnsi="Times New Roman"/>
                <w:lang w:val="ro-RO"/>
              </w:rPr>
            </w:pPr>
            <w:r w:rsidRPr="00DB5A0B">
              <w:rPr>
                <w:rFonts w:ascii="Times New Roman" w:hAnsi="Times New Roman"/>
                <w:lang w:val="ro-RO"/>
              </w:rPr>
              <w:t>din care, finanțate din contul:</w:t>
            </w:r>
          </w:p>
        </w:tc>
        <w:tc>
          <w:tcPr>
            <w:tcW w:w="1866" w:type="dxa"/>
            <w:tcBorders>
              <w:top w:val="nil"/>
              <w:left w:val="single" w:sz="4" w:space="0" w:color="auto"/>
              <w:bottom w:val="nil"/>
              <w:right w:val="nil"/>
            </w:tcBorders>
            <w:vAlign w:val="bottom"/>
          </w:tcPr>
          <w:p w:rsidR="00F276BD" w:rsidRPr="00DB5A0B" w:rsidRDefault="00F276BD" w:rsidP="00760596">
            <w:pPr>
              <w:pStyle w:val="aa"/>
              <w:rPr>
                <w:rFonts w:ascii="Times New Roman" w:hAnsi="Times New Roman"/>
                <w:lang w:val="ro-RO"/>
              </w:rPr>
            </w:pPr>
          </w:p>
        </w:tc>
        <w:tc>
          <w:tcPr>
            <w:tcW w:w="1733" w:type="dxa"/>
            <w:tcBorders>
              <w:top w:val="nil"/>
              <w:left w:val="nil"/>
              <w:bottom w:val="nil"/>
              <w:right w:val="nil"/>
            </w:tcBorders>
            <w:vAlign w:val="bottom"/>
          </w:tcPr>
          <w:p w:rsidR="00F276BD" w:rsidRPr="00DB5A0B" w:rsidRDefault="00F276BD" w:rsidP="00760596">
            <w:pPr>
              <w:pStyle w:val="aa"/>
              <w:rPr>
                <w:rFonts w:ascii="Times New Roman" w:hAnsi="Times New Roman"/>
                <w:lang w:val="ro-RO"/>
              </w:rPr>
            </w:pPr>
          </w:p>
        </w:tc>
        <w:tc>
          <w:tcPr>
            <w:tcW w:w="1599" w:type="dxa"/>
            <w:tcBorders>
              <w:top w:val="nil"/>
              <w:left w:val="nil"/>
              <w:bottom w:val="nil"/>
              <w:right w:val="nil"/>
            </w:tcBorders>
          </w:tcPr>
          <w:p w:rsidR="00F276BD" w:rsidRPr="00DB5A0B" w:rsidRDefault="00F276BD" w:rsidP="00760596">
            <w:pPr>
              <w:pStyle w:val="aa"/>
              <w:rPr>
                <w:rFonts w:ascii="Times New Roman" w:hAnsi="Times New Roman"/>
                <w:lang w:val="ro-RO"/>
              </w:rPr>
            </w:pPr>
          </w:p>
        </w:tc>
      </w:tr>
      <w:tr w:rsidR="00F276BD" w:rsidRPr="00B23E4E" w:rsidTr="00760596">
        <w:trPr>
          <w:trHeight w:val="267"/>
        </w:trPr>
        <w:tc>
          <w:tcPr>
            <w:tcW w:w="4133" w:type="dxa"/>
            <w:tcBorders>
              <w:top w:val="nil"/>
              <w:left w:val="nil"/>
              <w:bottom w:val="nil"/>
              <w:right w:val="single" w:sz="4" w:space="0" w:color="auto"/>
            </w:tcBorders>
          </w:tcPr>
          <w:p w:rsidR="00F276BD" w:rsidRPr="00DB5A0B" w:rsidRDefault="00F276BD" w:rsidP="00760596">
            <w:pPr>
              <w:pStyle w:val="aa"/>
              <w:rPr>
                <w:rFonts w:ascii="Times New Roman" w:hAnsi="Times New Roman"/>
                <w:lang w:val="ro-RO"/>
              </w:rPr>
            </w:pPr>
            <w:r w:rsidRPr="00DB5A0B">
              <w:rPr>
                <w:rFonts w:ascii="Times New Roman" w:hAnsi="Times New Roman"/>
                <w:lang w:val="ro-RO"/>
              </w:rPr>
              <w:t>bugetului de stat</w:t>
            </w:r>
          </w:p>
        </w:tc>
        <w:tc>
          <w:tcPr>
            <w:tcW w:w="1866" w:type="dxa"/>
            <w:tcBorders>
              <w:top w:val="nil"/>
              <w:left w:val="single" w:sz="4" w:space="0" w:color="auto"/>
              <w:bottom w:val="nil"/>
              <w:right w:val="nil"/>
            </w:tcBorders>
          </w:tcPr>
          <w:p w:rsidR="00F276BD" w:rsidRPr="00DB5A0B" w:rsidRDefault="00F276BD" w:rsidP="00760596">
            <w:pPr>
              <w:pStyle w:val="aa"/>
              <w:jc w:val="center"/>
              <w:rPr>
                <w:rFonts w:ascii="Times New Roman" w:hAnsi="Times New Roman"/>
                <w:lang w:val="ro-RO"/>
              </w:rPr>
            </w:pPr>
            <w:r w:rsidRPr="00DB5A0B">
              <w:rPr>
                <w:rFonts w:ascii="Times New Roman" w:hAnsi="Times New Roman"/>
                <w:lang w:val="ro-RO"/>
              </w:rPr>
              <w:t>37,2</w:t>
            </w:r>
          </w:p>
        </w:tc>
        <w:tc>
          <w:tcPr>
            <w:tcW w:w="1733" w:type="dxa"/>
            <w:tcBorders>
              <w:top w:val="nil"/>
              <w:left w:val="nil"/>
              <w:bottom w:val="nil"/>
              <w:right w:val="nil"/>
            </w:tcBorders>
          </w:tcPr>
          <w:p w:rsidR="00F276BD" w:rsidRPr="00DB5A0B" w:rsidRDefault="00F276BD" w:rsidP="00760596">
            <w:pPr>
              <w:pStyle w:val="aa"/>
              <w:jc w:val="center"/>
              <w:rPr>
                <w:rFonts w:ascii="Times New Roman" w:hAnsi="Times New Roman"/>
                <w:lang w:val="ro-RO"/>
              </w:rPr>
            </w:pPr>
            <w:r w:rsidRPr="00DB5A0B">
              <w:rPr>
                <w:rFonts w:ascii="Times New Roman" w:hAnsi="Times New Roman"/>
                <w:lang w:val="ro-RO"/>
              </w:rPr>
              <w:t>102,8</w:t>
            </w:r>
          </w:p>
        </w:tc>
        <w:tc>
          <w:tcPr>
            <w:tcW w:w="1599" w:type="dxa"/>
            <w:tcBorders>
              <w:top w:val="nil"/>
              <w:left w:val="nil"/>
              <w:bottom w:val="nil"/>
              <w:right w:val="nil"/>
            </w:tcBorders>
          </w:tcPr>
          <w:p w:rsidR="00F276BD" w:rsidRPr="00DB5A0B" w:rsidRDefault="00F276BD" w:rsidP="00760596">
            <w:pPr>
              <w:pStyle w:val="aa"/>
              <w:jc w:val="center"/>
              <w:rPr>
                <w:rFonts w:ascii="Times New Roman" w:hAnsi="Times New Roman"/>
                <w:lang w:val="ro-RO"/>
              </w:rPr>
            </w:pPr>
            <w:r w:rsidRPr="00DB5A0B">
              <w:rPr>
                <w:rFonts w:ascii="Times New Roman" w:hAnsi="Times New Roman"/>
                <w:lang w:val="ro-RO"/>
              </w:rPr>
              <w:t>6,8</w:t>
            </w:r>
          </w:p>
        </w:tc>
      </w:tr>
      <w:tr w:rsidR="00F276BD" w:rsidRPr="00B23E4E" w:rsidTr="00760596">
        <w:trPr>
          <w:trHeight w:val="272"/>
        </w:trPr>
        <w:tc>
          <w:tcPr>
            <w:tcW w:w="4133" w:type="dxa"/>
            <w:tcBorders>
              <w:top w:val="nil"/>
              <w:left w:val="nil"/>
              <w:bottom w:val="nil"/>
              <w:right w:val="single" w:sz="4" w:space="0" w:color="auto"/>
            </w:tcBorders>
          </w:tcPr>
          <w:p w:rsidR="00F276BD" w:rsidRPr="00DB5A0B" w:rsidRDefault="00F276BD" w:rsidP="00760596">
            <w:pPr>
              <w:pStyle w:val="aa"/>
              <w:rPr>
                <w:rFonts w:ascii="Times New Roman" w:hAnsi="Times New Roman"/>
                <w:lang w:val="ro-RO"/>
              </w:rPr>
            </w:pPr>
            <w:r w:rsidRPr="00DB5A0B">
              <w:rPr>
                <w:rFonts w:ascii="Times New Roman" w:hAnsi="Times New Roman"/>
                <w:lang w:val="ro-RO"/>
              </w:rPr>
              <w:t>bugetelor unităților administrativ-teritoriale</w:t>
            </w:r>
          </w:p>
        </w:tc>
        <w:tc>
          <w:tcPr>
            <w:tcW w:w="1866" w:type="dxa"/>
            <w:tcBorders>
              <w:top w:val="nil"/>
              <w:left w:val="single" w:sz="4" w:space="0" w:color="auto"/>
              <w:bottom w:val="nil"/>
              <w:right w:val="nil"/>
            </w:tcBorders>
          </w:tcPr>
          <w:p w:rsidR="00F276BD" w:rsidRPr="00DB5A0B" w:rsidRDefault="00F276BD" w:rsidP="00760596">
            <w:pPr>
              <w:pStyle w:val="aa"/>
              <w:jc w:val="center"/>
              <w:rPr>
                <w:rFonts w:ascii="Times New Roman" w:hAnsi="Times New Roman"/>
                <w:lang w:val="ro-RO"/>
              </w:rPr>
            </w:pPr>
            <w:r w:rsidRPr="00DB5A0B">
              <w:rPr>
                <w:rFonts w:ascii="Times New Roman" w:hAnsi="Times New Roman"/>
                <w:lang w:val="ro-RO"/>
              </w:rPr>
              <w:t>77,1</w:t>
            </w:r>
          </w:p>
        </w:tc>
        <w:tc>
          <w:tcPr>
            <w:tcW w:w="1733" w:type="dxa"/>
            <w:tcBorders>
              <w:top w:val="nil"/>
              <w:left w:val="nil"/>
              <w:bottom w:val="nil"/>
              <w:right w:val="nil"/>
            </w:tcBorders>
          </w:tcPr>
          <w:p w:rsidR="00F276BD" w:rsidRPr="00DB5A0B" w:rsidRDefault="00F276BD" w:rsidP="00760596">
            <w:pPr>
              <w:pStyle w:val="aa"/>
              <w:jc w:val="center"/>
              <w:rPr>
                <w:rFonts w:ascii="Times New Roman" w:hAnsi="Times New Roman"/>
                <w:lang w:val="ro-RO"/>
              </w:rPr>
            </w:pPr>
            <w:r w:rsidRPr="00DB5A0B">
              <w:rPr>
                <w:rFonts w:ascii="Times New Roman" w:hAnsi="Times New Roman"/>
                <w:lang w:val="ro-RO"/>
              </w:rPr>
              <w:t>113,1</w:t>
            </w:r>
          </w:p>
        </w:tc>
        <w:tc>
          <w:tcPr>
            <w:tcW w:w="1599" w:type="dxa"/>
            <w:tcBorders>
              <w:top w:val="nil"/>
              <w:left w:val="nil"/>
              <w:bottom w:val="nil"/>
              <w:right w:val="nil"/>
            </w:tcBorders>
          </w:tcPr>
          <w:p w:rsidR="00F276BD" w:rsidRPr="00DB5A0B" w:rsidRDefault="00F276BD" w:rsidP="00760596">
            <w:pPr>
              <w:pStyle w:val="aa"/>
              <w:jc w:val="center"/>
              <w:rPr>
                <w:rFonts w:ascii="Times New Roman" w:hAnsi="Times New Roman"/>
                <w:lang w:val="ro-RO"/>
              </w:rPr>
            </w:pPr>
            <w:r w:rsidRPr="00DB5A0B">
              <w:rPr>
                <w:rFonts w:ascii="Times New Roman" w:hAnsi="Times New Roman"/>
                <w:lang w:val="ro-RO"/>
              </w:rPr>
              <w:t>14,2</w:t>
            </w:r>
          </w:p>
        </w:tc>
      </w:tr>
      <w:tr w:rsidR="00F276BD" w:rsidRPr="00B23E4E" w:rsidTr="00760596">
        <w:trPr>
          <w:trHeight w:val="326"/>
        </w:trPr>
        <w:tc>
          <w:tcPr>
            <w:tcW w:w="4133" w:type="dxa"/>
            <w:tcBorders>
              <w:top w:val="nil"/>
              <w:left w:val="nil"/>
              <w:bottom w:val="nil"/>
              <w:right w:val="single" w:sz="4" w:space="0" w:color="auto"/>
            </w:tcBorders>
          </w:tcPr>
          <w:p w:rsidR="00F276BD" w:rsidRPr="00DB5A0B" w:rsidRDefault="00F276BD" w:rsidP="00760596">
            <w:pPr>
              <w:pStyle w:val="aa"/>
              <w:rPr>
                <w:rFonts w:ascii="Times New Roman" w:hAnsi="Times New Roman"/>
                <w:lang w:val="ro-RO"/>
              </w:rPr>
            </w:pPr>
            <w:r w:rsidRPr="00DB5A0B">
              <w:rPr>
                <w:rFonts w:ascii="Times New Roman" w:hAnsi="Times New Roman"/>
                <w:lang w:val="ro-RO"/>
              </w:rPr>
              <w:t xml:space="preserve">mijloacelor proprii </w:t>
            </w:r>
          </w:p>
        </w:tc>
        <w:tc>
          <w:tcPr>
            <w:tcW w:w="1866" w:type="dxa"/>
            <w:tcBorders>
              <w:top w:val="nil"/>
              <w:left w:val="single" w:sz="4" w:space="0" w:color="auto"/>
              <w:bottom w:val="nil"/>
              <w:right w:val="nil"/>
            </w:tcBorders>
          </w:tcPr>
          <w:p w:rsidR="00F276BD" w:rsidRPr="00DB5A0B" w:rsidRDefault="00F276BD" w:rsidP="00760596">
            <w:pPr>
              <w:pStyle w:val="aa"/>
              <w:jc w:val="center"/>
              <w:rPr>
                <w:rFonts w:ascii="Times New Roman" w:hAnsi="Times New Roman"/>
                <w:lang w:val="ro-RO"/>
              </w:rPr>
            </w:pPr>
            <w:r w:rsidRPr="00DB5A0B">
              <w:rPr>
                <w:rFonts w:ascii="Times New Roman" w:hAnsi="Times New Roman"/>
                <w:lang w:val="ro-RO"/>
              </w:rPr>
              <w:t>152,1</w:t>
            </w:r>
          </w:p>
        </w:tc>
        <w:tc>
          <w:tcPr>
            <w:tcW w:w="1733" w:type="dxa"/>
            <w:tcBorders>
              <w:top w:val="nil"/>
              <w:left w:val="nil"/>
              <w:bottom w:val="nil"/>
              <w:right w:val="nil"/>
            </w:tcBorders>
          </w:tcPr>
          <w:p w:rsidR="00F276BD" w:rsidRPr="00DB5A0B" w:rsidRDefault="00F276BD" w:rsidP="00760596">
            <w:pPr>
              <w:pStyle w:val="aa"/>
              <w:jc w:val="center"/>
              <w:rPr>
                <w:rFonts w:ascii="Times New Roman" w:hAnsi="Times New Roman"/>
                <w:lang w:val="ro-RO"/>
              </w:rPr>
            </w:pPr>
            <w:r w:rsidRPr="00DB5A0B">
              <w:rPr>
                <w:rFonts w:ascii="Times New Roman" w:hAnsi="Times New Roman"/>
                <w:lang w:val="ro-RO"/>
              </w:rPr>
              <w:t>94,3</w:t>
            </w:r>
          </w:p>
        </w:tc>
        <w:tc>
          <w:tcPr>
            <w:tcW w:w="1599" w:type="dxa"/>
            <w:tcBorders>
              <w:top w:val="nil"/>
              <w:left w:val="nil"/>
              <w:bottom w:val="nil"/>
              <w:right w:val="nil"/>
            </w:tcBorders>
          </w:tcPr>
          <w:p w:rsidR="00F276BD" w:rsidRPr="00DB5A0B" w:rsidRDefault="00F276BD" w:rsidP="00760596">
            <w:pPr>
              <w:pStyle w:val="aa"/>
              <w:jc w:val="center"/>
              <w:rPr>
                <w:rFonts w:ascii="Times New Roman" w:hAnsi="Times New Roman"/>
                <w:lang w:val="ro-RO"/>
              </w:rPr>
            </w:pPr>
            <w:r w:rsidRPr="00DB5A0B">
              <w:rPr>
                <w:rFonts w:ascii="Times New Roman" w:hAnsi="Times New Roman"/>
                <w:lang w:val="ro-RO"/>
              </w:rPr>
              <w:t>28,0</w:t>
            </w:r>
          </w:p>
        </w:tc>
      </w:tr>
      <w:tr w:rsidR="00F276BD" w:rsidRPr="00B23E4E" w:rsidTr="00760596">
        <w:trPr>
          <w:trHeight w:val="326"/>
        </w:trPr>
        <w:tc>
          <w:tcPr>
            <w:tcW w:w="4133" w:type="dxa"/>
            <w:tcBorders>
              <w:top w:val="nil"/>
              <w:left w:val="nil"/>
              <w:bottom w:val="nil"/>
              <w:right w:val="single" w:sz="4" w:space="0" w:color="auto"/>
            </w:tcBorders>
          </w:tcPr>
          <w:p w:rsidR="00F276BD" w:rsidRPr="00DB5A0B" w:rsidRDefault="00F276BD" w:rsidP="00760596">
            <w:pPr>
              <w:pStyle w:val="aa"/>
              <w:rPr>
                <w:rFonts w:ascii="Times New Roman" w:hAnsi="Times New Roman"/>
                <w:lang w:val="ro-RO"/>
              </w:rPr>
            </w:pPr>
            <w:r w:rsidRPr="00DB5A0B">
              <w:rPr>
                <w:rFonts w:ascii="Times New Roman" w:hAnsi="Times New Roman"/>
                <w:lang w:val="ro-RO"/>
              </w:rPr>
              <w:t>surselor din străinătate</w:t>
            </w:r>
          </w:p>
          <w:p w:rsidR="00F276BD" w:rsidRPr="00DB5A0B" w:rsidRDefault="00F276BD" w:rsidP="00760596">
            <w:pPr>
              <w:pStyle w:val="aa"/>
              <w:rPr>
                <w:rFonts w:ascii="Times New Roman" w:hAnsi="Times New Roman"/>
                <w:lang w:val="ro-RO"/>
              </w:rPr>
            </w:pPr>
            <w:r w:rsidRPr="00DB5A0B">
              <w:rPr>
                <w:rFonts w:ascii="Times New Roman" w:hAnsi="Times New Roman"/>
                <w:lang w:val="ro-RO"/>
              </w:rPr>
              <w:t>credite și împrumuturi</w:t>
            </w:r>
          </w:p>
        </w:tc>
        <w:tc>
          <w:tcPr>
            <w:tcW w:w="1866" w:type="dxa"/>
            <w:tcBorders>
              <w:top w:val="nil"/>
              <w:left w:val="single" w:sz="4" w:space="0" w:color="auto"/>
              <w:bottom w:val="nil"/>
              <w:right w:val="nil"/>
            </w:tcBorders>
          </w:tcPr>
          <w:p w:rsidR="00F276BD" w:rsidRPr="00DB5A0B" w:rsidRDefault="00F276BD" w:rsidP="00760596">
            <w:pPr>
              <w:pStyle w:val="aa"/>
              <w:jc w:val="center"/>
              <w:rPr>
                <w:rFonts w:ascii="Times New Roman" w:hAnsi="Times New Roman"/>
                <w:bCs/>
                <w:lang w:val="ro-RO"/>
              </w:rPr>
            </w:pPr>
            <w:r w:rsidRPr="00DB5A0B">
              <w:rPr>
                <w:rFonts w:ascii="Times New Roman" w:hAnsi="Times New Roman"/>
                <w:bCs/>
                <w:lang w:val="ro-RO"/>
              </w:rPr>
              <w:t>19,8</w:t>
            </w:r>
          </w:p>
          <w:p w:rsidR="00F276BD" w:rsidRPr="00DB5A0B" w:rsidRDefault="00F276BD" w:rsidP="00760596">
            <w:pPr>
              <w:pStyle w:val="aa"/>
              <w:jc w:val="center"/>
              <w:rPr>
                <w:rFonts w:ascii="Times New Roman" w:hAnsi="Times New Roman"/>
                <w:lang w:val="ro-RO"/>
              </w:rPr>
            </w:pPr>
            <w:r w:rsidRPr="00DB5A0B">
              <w:rPr>
                <w:rFonts w:ascii="Times New Roman" w:hAnsi="Times New Roman"/>
                <w:lang w:val="ro-RO"/>
              </w:rPr>
              <w:t>233,1</w:t>
            </w:r>
          </w:p>
        </w:tc>
        <w:tc>
          <w:tcPr>
            <w:tcW w:w="1733" w:type="dxa"/>
            <w:tcBorders>
              <w:top w:val="nil"/>
              <w:left w:val="nil"/>
              <w:bottom w:val="nil"/>
              <w:right w:val="nil"/>
            </w:tcBorders>
          </w:tcPr>
          <w:p w:rsidR="00F276BD" w:rsidRPr="00DB5A0B" w:rsidRDefault="00F276BD" w:rsidP="00760596">
            <w:pPr>
              <w:pStyle w:val="aa"/>
              <w:jc w:val="center"/>
              <w:rPr>
                <w:rFonts w:ascii="Times New Roman" w:hAnsi="Times New Roman"/>
                <w:lang w:val="ro-RO"/>
              </w:rPr>
            </w:pPr>
            <w:r w:rsidRPr="00DB5A0B">
              <w:rPr>
                <w:rFonts w:ascii="Times New Roman" w:hAnsi="Times New Roman"/>
                <w:lang w:val="ro-RO"/>
              </w:rPr>
              <w:t>96,9</w:t>
            </w:r>
          </w:p>
          <w:p w:rsidR="00F276BD" w:rsidRPr="00DB5A0B" w:rsidRDefault="00F276BD" w:rsidP="00760596">
            <w:pPr>
              <w:pStyle w:val="aa"/>
              <w:jc w:val="center"/>
              <w:rPr>
                <w:rFonts w:ascii="Times New Roman" w:hAnsi="Times New Roman"/>
                <w:lang w:val="ro-RO"/>
              </w:rPr>
            </w:pPr>
            <w:r w:rsidRPr="00DB5A0B">
              <w:rPr>
                <w:rFonts w:ascii="Times New Roman" w:hAnsi="Times New Roman"/>
                <w:lang w:val="ro-RO"/>
              </w:rPr>
              <w:t>de 6,8 ori</w:t>
            </w:r>
          </w:p>
        </w:tc>
        <w:tc>
          <w:tcPr>
            <w:tcW w:w="1599" w:type="dxa"/>
            <w:tcBorders>
              <w:top w:val="nil"/>
              <w:left w:val="nil"/>
              <w:bottom w:val="nil"/>
              <w:right w:val="nil"/>
            </w:tcBorders>
          </w:tcPr>
          <w:p w:rsidR="00F276BD" w:rsidRPr="00DB5A0B" w:rsidRDefault="00F276BD" w:rsidP="00760596">
            <w:pPr>
              <w:pStyle w:val="aa"/>
              <w:jc w:val="center"/>
              <w:rPr>
                <w:rFonts w:ascii="Times New Roman" w:hAnsi="Times New Roman"/>
                <w:lang w:val="ro-RO"/>
              </w:rPr>
            </w:pPr>
            <w:r w:rsidRPr="00DB5A0B">
              <w:rPr>
                <w:rFonts w:ascii="Times New Roman" w:hAnsi="Times New Roman"/>
                <w:lang w:val="ro-RO"/>
              </w:rPr>
              <w:t>3,6</w:t>
            </w:r>
          </w:p>
          <w:p w:rsidR="00F276BD" w:rsidRPr="00DB5A0B" w:rsidRDefault="00F276BD" w:rsidP="00760596">
            <w:pPr>
              <w:pStyle w:val="aa"/>
              <w:jc w:val="center"/>
              <w:rPr>
                <w:rFonts w:ascii="Times New Roman" w:hAnsi="Times New Roman"/>
                <w:lang w:val="ro-RO"/>
              </w:rPr>
            </w:pPr>
            <w:r w:rsidRPr="00DB5A0B">
              <w:rPr>
                <w:rFonts w:ascii="Times New Roman" w:hAnsi="Times New Roman"/>
                <w:lang w:val="ro-RO"/>
              </w:rPr>
              <w:t>42,8</w:t>
            </w:r>
          </w:p>
        </w:tc>
      </w:tr>
      <w:tr w:rsidR="00F276BD" w:rsidRPr="00B23E4E" w:rsidTr="00760596">
        <w:trPr>
          <w:trHeight w:val="326"/>
        </w:trPr>
        <w:tc>
          <w:tcPr>
            <w:tcW w:w="4133" w:type="dxa"/>
            <w:tcBorders>
              <w:top w:val="nil"/>
              <w:left w:val="nil"/>
              <w:right w:val="single" w:sz="4" w:space="0" w:color="auto"/>
            </w:tcBorders>
          </w:tcPr>
          <w:p w:rsidR="00F276BD" w:rsidRPr="00DB5A0B" w:rsidRDefault="00F276BD" w:rsidP="00760596">
            <w:pPr>
              <w:pStyle w:val="aa"/>
              <w:rPr>
                <w:rFonts w:ascii="Times New Roman" w:hAnsi="Times New Roman"/>
                <w:lang w:val="ro-RO"/>
              </w:rPr>
            </w:pPr>
            <w:r w:rsidRPr="00DB5A0B">
              <w:rPr>
                <w:rFonts w:ascii="Times New Roman" w:hAnsi="Times New Roman"/>
                <w:lang w:val="ro-RO"/>
              </w:rPr>
              <w:t>altor surse</w:t>
            </w:r>
          </w:p>
        </w:tc>
        <w:tc>
          <w:tcPr>
            <w:tcW w:w="1866" w:type="dxa"/>
            <w:tcBorders>
              <w:top w:val="nil"/>
              <w:left w:val="single" w:sz="4" w:space="0" w:color="auto"/>
              <w:right w:val="nil"/>
            </w:tcBorders>
          </w:tcPr>
          <w:p w:rsidR="00F276BD" w:rsidRPr="00DB5A0B" w:rsidRDefault="00F276BD" w:rsidP="00760596">
            <w:pPr>
              <w:pStyle w:val="aa"/>
              <w:jc w:val="center"/>
              <w:rPr>
                <w:rFonts w:ascii="Times New Roman" w:hAnsi="Times New Roman"/>
                <w:bCs/>
                <w:lang w:val="ro-RO"/>
              </w:rPr>
            </w:pPr>
            <w:r w:rsidRPr="00DB5A0B">
              <w:rPr>
                <w:rFonts w:ascii="Times New Roman" w:hAnsi="Times New Roman"/>
                <w:bCs/>
                <w:lang w:val="ro-RO"/>
              </w:rPr>
              <w:t>24,8</w:t>
            </w:r>
          </w:p>
        </w:tc>
        <w:tc>
          <w:tcPr>
            <w:tcW w:w="1733" w:type="dxa"/>
            <w:tcBorders>
              <w:top w:val="nil"/>
              <w:left w:val="nil"/>
              <w:right w:val="nil"/>
            </w:tcBorders>
          </w:tcPr>
          <w:p w:rsidR="00F276BD" w:rsidRPr="00DB5A0B" w:rsidRDefault="00F276BD" w:rsidP="00760596">
            <w:pPr>
              <w:pStyle w:val="aa"/>
              <w:jc w:val="center"/>
              <w:rPr>
                <w:rFonts w:ascii="Times New Roman" w:hAnsi="Times New Roman"/>
                <w:lang w:val="ro-RO"/>
              </w:rPr>
            </w:pPr>
            <w:r w:rsidRPr="00DB5A0B">
              <w:rPr>
                <w:rFonts w:ascii="Times New Roman" w:hAnsi="Times New Roman"/>
                <w:lang w:val="ro-RO"/>
              </w:rPr>
              <w:t>46,2</w:t>
            </w:r>
          </w:p>
        </w:tc>
        <w:tc>
          <w:tcPr>
            <w:tcW w:w="1599" w:type="dxa"/>
            <w:tcBorders>
              <w:top w:val="nil"/>
              <w:left w:val="nil"/>
              <w:right w:val="nil"/>
            </w:tcBorders>
          </w:tcPr>
          <w:p w:rsidR="00F276BD" w:rsidRPr="00DB5A0B" w:rsidRDefault="00F276BD" w:rsidP="00760596">
            <w:pPr>
              <w:pStyle w:val="aa"/>
              <w:jc w:val="center"/>
              <w:rPr>
                <w:rFonts w:ascii="Times New Roman" w:hAnsi="Times New Roman"/>
                <w:lang w:val="ro-RO"/>
              </w:rPr>
            </w:pPr>
            <w:r w:rsidRPr="00DB5A0B">
              <w:rPr>
                <w:rFonts w:ascii="Times New Roman" w:hAnsi="Times New Roman"/>
                <w:lang w:val="ro-RO"/>
              </w:rPr>
              <w:t>4,6</w:t>
            </w:r>
          </w:p>
        </w:tc>
      </w:tr>
    </w:tbl>
    <w:p w:rsidR="00F276BD" w:rsidRPr="00CC4606" w:rsidRDefault="00F276BD" w:rsidP="00F276BD">
      <w:pPr>
        <w:pStyle w:val="aa"/>
        <w:jc w:val="both"/>
        <w:rPr>
          <w:rFonts w:ascii="Times New Roman" w:hAnsi="Times New Roman"/>
          <w:sz w:val="24"/>
          <w:szCs w:val="24"/>
          <w:lang w:val="ro-RO"/>
        </w:rPr>
      </w:pPr>
      <w:r>
        <w:rPr>
          <w:rFonts w:ascii="Times New Roman" w:hAnsi="Times New Roman"/>
          <w:sz w:val="24"/>
          <w:szCs w:val="24"/>
          <w:lang w:val="ro-RO"/>
        </w:rPr>
        <w:t>În anul</w:t>
      </w:r>
      <w:r w:rsidRPr="00CC4606">
        <w:rPr>
          <w:rFonts w:ascii="Times New Roman" w:hAnsi="Times New Roman"/>
          <w:sz w:val="24"/>
          <w:szCs w:val="24"/>
          <w:lang w:val="ro-RO"/>
        </w:rPr>
        <w:t xml:space="preserve"> 2018, pentru asigurarea necesităților investiționale din contul surselor bugetare, au fost utilizate 114,3 ml</w:t>
      </w:r>
      <w:r>
        <w:rPr>
          <w:rFonts w:ascii="Times New Roman" w:hAnsi="Times New Roman"/>
          <w:sz w:val="24"/>
          <w:szCs w:val="24"/>
          <w:lang w:val="ro-RO"/>
        </w:rPr>
        <w:t>n</w:t>
      </w:r>
      <w:r w:rsidRPr="00CC4606">
        <w:rPr>
          <w:rFonts w:ascii="Times New Roman" w:hAnsi="Times New Roman"/>
          <w:sz w:val="24"/>
          <w:szCs w:val="24"/>
          <w:lang w:val="ro-RO"/>
        </w:rPr>
        <w:t>. lei, ceea ce constituie 21,0% din total investiții.</w:t>
      </w:r>
    </w:p>
    <w:p w:rsidR="00F276BD" w:rsidRPr="00F34979" w:rsidRDefault="00F276BD" w:rsidP="00F276BD">
      <w:pPr>
        <w:pStyle w:val="aa"/>
        <w:jc w:val="both"/>
        <w:rPr>
          <w:rFonts w:ascii="Times New Roman" w:hAnsi="Times New Roman"/>
          <w:sz w:val="24"/>
          <w:szCs w:val="24"/>
          <w:lang w:val="ro-RO"/>
        </w:rPr>
      </w:pPr>
      <w:r w:rsidRPr="00F34979">
        <w:rPr>
          <w:rFonts w:ascii="Times New Roman" w:hAnsi="Times New Roman"/>
          <w:b/>
          <w:sz w:val="24"/>
          <w:szCs w:val="24"/>
          <w:lang w:val="ro-RO"/>
        </w:rPr>
        <w:t>Construcţia</w:t>
      </w:r>
      <w:r w:rsidRPr="00F34979">
        <w:rPr>
          <w:rFonts w:ascii="Times New Roman" w:hAnsi="Times New Roman"/>
          <w:sz w:val="24"/>
          <w:szCs w:val="24"/>
          <w:lang w:val="ro-RO"/>
        </w:rPr>
        <w:t>. În perioada anului 2018 s-au eliberat 103 autorizaţii de construire pentru clădiri rezidenţiale şi nerezidenţiale, descreștere cu 11,2 % față anul 2017.</w:t>
      </w:r>
    </w:p>
    <w:p w:rsidR="00F276BD" w:rsidRPr="00F34979" w:rsidRDefault="00F276BD" w:rsidP="00F276BD">
      <w:pPr>
        <w:pStyle w:val="aa"/>
        <w:jc w:val="both"/>
        <w:rPr>
          <w:rFonts w:ascii="Times New Roman" w:hAnsi="Times New Roman"/>
          <w:sz w:val="24"/>
          <w:szCs w:val="24"/>
          <w:lang w:val="ro-RO"/>
        </w:rPr>
      </w:pPr>
      <w:r w:rsidRPr="00F34979">
        <w:rPr>
          <w:rFonts w:ascii="Times New Roman" w:hAnsi="Times New Roman"/>
          <w:sz w:val="24"/>
          <w:szCs w:val="24"/>
          <w:lang w:val="ro-RO"/>
        </w:rPr>
        <w:t>Au fost date în exploatare 33 locuințe (case individuale de locuit) cu suprafaţa totală de 4479,6  m², sau cu 10,5 % mai mult față anul 2017.</w:t>
      </w:r>
    </w:p>
    <w:p w:rsidR="006D0EC1" w:rsidRPr="006D0EC1" w:rsidRDefault="006D0EC1" w:rsidP="006D0EC1">
      <w:pPr>
        <w:pStyle w:val="aa"/>
        <w:jc w:val="both"/>
        <w:rPr>
          <w:rFonts w:ascii="Times New Roman" w:hAnsi="Times New Roman"/>
          <w:sz w:val="24"/>
          <w:szCs w:val="24"/>
          <w:lang w:val="ro-RO"/>
        </w:rPr>
      </w:pPr>
      <w:r w:rsidRPr="006D0EC1">
        <w:rPr>
          <w:rFonts w:ascii="Times New Roman" w:hAnsi="Times New Roman"/>
          <w:b/>
          <w:sz w:val="24"/>
          <w:szCs w:val="24"/>
          <w:lang w:val="ro-RO"/>
        </w:rPr>
        <w:t xml:space="preserve">Parcursul mărfurilor </w:t>
      </w:r>
      <w:r w:rsidRPr="006D0EC1">
        <w:rPr>
          <w:rFonts w:ascii="Times New Roman" w:hAnsi="Times New Roman"/>
          <w:sz w:val="24"/>
          <w:szCs w:val="24"/>
          <w:lang w:val="ro-RO"/>
        </w:rPr>
        <w:t>realizat de întreprinderile de transport rutier în ianuarie-decembrie 2018 a însumat 11,6 mil. tone-km, cu 17,3% mai puțin decât cel înregistrat în aceeași perioadă a anului precedent.</w:t>
      </w:r>
    </w:p>
    <w:p w:rsidR="006D0EC1" w:rsidRPr="006D0EC1" w:rsidRDefault="006D0EC1" w:rsidP="006D0EC1">
      <w:pPr>
        <w:pStyle w:val="aa"/>
        <w:jc w:val="both"/>
        <w:rPr>
          <w:rFonts w:ascii="Times New Roman" w:hAnsi="Times New Roman"/>
          <w:sz w:val="24"/>
          <w:szCs w:val="24"/>
          <w:lang w:val="ro-RO"/>
        </w:rPr>
      </w:pPr>
      <w:r w:rsidRPr="006D0EC1">
        <w:rPr>
          <w:rFonts w:ascii="Times New Roman" w:hAnsi="Times New Roman"/>
          <w:b/>
          <w:sz w:val="24"/>
          <w:szCs w:val="24"/>
          <w:lang w:val="ro-RO"/>
        </w:rPr>
        <w:t>Volumul mărfurilor transportate</w:t>
      </w:r>
      <w:r w:rsidRPr="006D0EC1">
        <w:rPr>
          <w:rFonts w:ascii="Times New Roman" w:hAnsi="Times New Roman"/>
          <w:sz w:val="24"/>
          <w:szCs w:val="24"/>
          <w:lang w:val="ro-RO"/>
        </w:rPr>
        <w:t xml:space="preserve"> de către întreprinderile de transport rutier a constituit 8,9 mii tone, micșorându-se cu 7,3% comparativ cu ianuarie-decembrie 2017.</w:t>
      </w:r>
    </w:p>
    <w:p w:rsidR="00F276BD" w:rsidRDefault="006D0EC1" w:rsidP="00F276BD">
      <w:pPr>
        <w:pStyle w:val="aa"/>
        <w:jc w:val="both"/>
        <w:rPr>
          <w:rFonts w:ascii="Times New Roman" w:hAnsi="Times New Roman"/>
          <w:sz w:val="24"/>
          <w:szCs w:val="24"/>
          <w:lang w:val="ro-RO"/>
        </w:rPr>
      </w:pPr>
      <w:r w:rsidRPr="006D0EC1">
        <w:rPr>
          <w:rFonts w:ascii="Times New Roman" w:hAnsi="Times New Roman"/>
          <w:b/>
          <w:sz w:val="24"/>
          <w:szCs w:val="24"/>
          <w:lang w:val="ro-RO"/>
        </w:rPr>
        <w:t>Numărul pasagerilor</w:t>
      </w:r>
      <w:r w:rsidRPr="006D0EC1">
        <w:rPr>
          <w:rFonts w:ascii="Times New Roman" w:hAnsi="Times New Roman"/>
          <w:sz w:val="24"/>
          <w:szCs w:val="24"/>
          <w:lang w:val="ro-RO"/>
        </w:rPr>
        <w:t xml:space="preserve"> </w:t>
      </w:r>
      <w:r w:rsidRPr="006D0EC1">
        <w:rPr>
          <w:rFonts w:ascii="Times New Roman" w:hAnsi="Times New Roman"/>
          <w:b/>
          <w:sz w:val="24"/>
          <w:szCs w:val="24"/>
          <w:lang w:val="ro-RO"/>
        </w:rPr>
        <w:t>transportați</w:t>
      </w:r>
      <w:r w:rsidRPr="006D0EC1">
        <w:rPr>
          <w:rFonts w:ascii="Times New Roman" w:hAnsi="Times New Roman"/>
          <w:sz w:val="24"/>
          <w:szCs w:val="24"/>
          <w:lang w:val="ro-RO"/>
        </w:rPr>
        <w:t xml:space="preserve"> </w:t>
      </w:r>
      <w:r w:rsidRPr="006D0EC1">
        <w:rPr>
          <w:rFonts w:ascii="Times New Roman" w:hAnsi="Times New Roman"/>
          <w:b/>
          <w:sz w:val="24"/>
          <w:szCs w:val="24"/>
          <w:lang w:val="ro-RO"/>
        </w:rPr>
        <w:t>cu</w:t>
      </w:r>
      <w:r w:rsidRPr="006D0EC1">
        <w:rPr>
          <w:rFonts w:ascii="Times New Roman" w:hAnsi="Times New Roman"/>
          <w:sz w:val="24"/>
          <w:szCs w:val="24"/>
          <w:lang w:val="ro-RO"/>
        </w:rPr>
        <w:t xml:space="preserve"> </w:t>
      </w:r>
      <w:r w:rsidRPr="006D0EC1">
        <w:rPr>
          <w:rFonts w:ascii="Times New Roman" w:hAnsi="Times New Roman"/>
          <w:b/>
          <w:bCs/>
          <w:sz w:val="24"/>
          <w:szCs w:val="24"/>
          <w:lang w:val="ro-RO"/>
        </w:rPr>
        <w:t xml:space="preserve">autobuzele și microbuzele </w:t>
      </w:r>
      <w:r w:rsidRPr="006D0EC1">
        <w:rPr>
          <w:rFonts w:ascii="Times New Roman" w:hAnsi="Times New Roman"/>
          <w:sz w:val="24"/>
          <w:szCs w:val="24"/>
          <w:lang w:val="ro-RO"/>
        </w:rPr>
        <w:t>de folosință generală a fost de 4,7 ml</w:t>
      </w:r>
      <w:r w:rsidR="00F276BD">
        <w:rPr>
          <w:rFonts w:ascii="Times New Roman" w:hAnsi="Times New Roman"/>
          <w:sz w:val="24"/>
          <w:szCs w:val="24"/>
          <w:lang w:val="ro-RO"/>
        </w:rPr>
        <w:t>n</w:t>
      </w:r>
      <w:r w:rsidRPr="006D0EC1">
        <w:rPr>
          <w:rFonts w:ascii="Times New Roman" w:hAnsi="Times New Roman"/>
          <w:sz w:val="24"/>
          <w:szCs w:val="24"/>
          <w:lang w:val="ro-RO"/>
        </w:rPr>
        <w:t xml:space="preserve">., micșorându-se cu 2,2 % față de aceeași perioadă a anului trecut. </w:t>
      </w:r>
    </w:p>
    <w:p w:rsidR="00F276BD" w:rsidRPr="007C5163" w:rsidRDefault="00F276BD" w:rsidP="00F276BD">
      <w:pPr>
        <w:pStyle w:val="aa"/>
        <w:jc w:val="both"/>
        <w:rPr>
          <w:rFonts w:ascii="Times New Roman" w:hAnsi="Times New Roman"/>
          <w:sz w:val="24"/>
          <w:szCs w:val="24"/>
          <w:lang w:val="ro-RO"/>
        </w:rPr>
      </w:pPr>
      <w:r w:rsidRPr="00F276BD">
        <w:rPr>
          <w:rFonts w:ascii="Times New Roman" w:hAnsi="Times New Roman"/>
          <w:b/>
          <w:color w:val="000000"/>
          <w:sz w:val="24"/>
          <w:szCs w:val="24"/>
          <w:lang w:val="ro-RO"/>
        </w:rPr>
        <w:t>Parcursul pasagerilor cu autobuze și microbuze</w:t>
      </w:r>
      <w:r w:rsidRPr="007C5163">
        <w:rPr>
          <w:rFonts w:ascii="Times New Roman" w:hAnsi="Times New Roman"/>
          <w:color w:val="000000"/>
          <w:sz w:val="24"/>
          <w:szCs w:val="24"/>
          <w:lang w:val="ro-RO"/>
        </w:rPr>
        <w:t xml:space="preserve"> de folosință generală a constituit 72,6 mil. </w:t>
      </w:r>
      <w:r w:rsidRPr="007C5163">
        <w:rPr>
          <w:rFonts w:ascii="Times New Roman" w:hAnsi="Times New Roman"/>
          <w:sz w:val="24"/>
          <w:szCs w:val="24"/>
          <w:lang w:val="ro-RO"/>
        </w:rPr>
        <w:t xml:space="preserve">pasageri-km, cu 0,9% mai puțin față de anul precedent. </w:t>
      </w:r>
    </w:p>
    <w:p w:rsidR="00CC4606" w:rsidRPr="00F34979" w:rsidRDefault="00CC4606" w:rsidP="00F34979">
      <w:pPr>
        <w:pStyle w:val="aa"/>
        <w:jc w:val="both"/>
        <w:rPr>
          <w:rFonts w:ascii="Times New Roman" w:hAnsi="Times New Roman"/>
          <w:sz w:val="24"/>
          <w:szCs w:val="24"/>
          <w:lang w:val="ro-RO"/>
        </w:rPr>
      </w:pPr>
      <w:r w:rsidRPr="00F34979">
        <w:rPr>
          <w:rFonts w:ascii="Times New Roman" w:hAnsi="Times New Roman"/>
          <w:b/>
          <w:sz w:val="24"/>
          <w:szCs w:val="24"/>
          <w:lang w:val="ro-RO"/>
        </w:rPr>
        <w:t>Transporturi.</w:t>
      </w:r>
      <w:r w:rsidRPr="00F34979">
        <w:rPr>
          <w:rFonts w:ascii="Times New Roman" w:hAnsi="Times New Roman"/>
          <w:sz w:val="24"/>
          <w:szCs w:val="24"/>
          <w:lang w:val="ro-RO"/>
        </w:rPr>
        <w:t xml:space="preserve"> Întreprinderile de transport rutier din raion au transportat 8,9 mii tone de mărfuri, cu 7,3% mai puțin față de anul 2017.</w:t>
      </w:r>
    </w:p>
    <w:p w:rsidR="00CC4606" w:rsidRPr="00F34979" w:rsidRDefault="00CC4606" w:rsidP="00F34979">
      <w:pPr>
        <w:pStyle w:val="aa"/>
        <w:jc w:val="both"/>
        <w:rPr>
          <w:rFonts w:ascii="Times New Roman" w:hAnsi="Times New Roman"/>
          <w:sz w:val="24"/>
          <w:szCs w:val="24"/>
          <w:lang w:val="ro-RO"/>
        </w:rPr>
      </w:pPr>
      <w:r w:rsidRPr="00F34979">
        <w:rPr>
          <w:rFonts w:ascii="Times New Roman" w:hAnsi="Times New Roman"/>
          <w:sz w:val="24"/>
          <w:szCs w:val="24"/>
          <w:lang w:val="ro-RO"/>
        </w:rPr>
        <w:t xml:space="preserve"> Parcursul mărfurilor a totalizat 11,6</w:t>
      </w:r>
      <w:r w:rsidR="00F276BD">
        <w:rPr>
          <w:rFonts w:ascii="Times New Roman" w:hAnsi="Times New Roman"/>
          <w:sz w:val="24"/>
          <w:szCs w:val="24"/>
          <w:lang w:val="ro-RO"/>
        </w:rPr>
        <w:t xml:space="preserve"> m</w:t>
      </w:r>
      <w:r w:rsidRPr="00F34979">
        <w:rPr>
          <w:rFonts w:ascii="Times New Roman" w:hAnsi="Times New Roman"/>
          <w:sz w:val="24"/>
          <w:szCs w:val="24"/>
          <w:lang w:val="ro-RO"/>
        </w:rPr>
        <w:t>l</w:t>
      </w:r>
      <w:r w:rsidR="00F276BD">
        <w:rPr>
          <w:rFonts w:ascii="Times New Roman" w:hAnsi="Times New Roman"/>
          <w:sz w:val="24"/>
          <w:szCs w:val="24"/>
          <w:lang w:val="ro-RO"/>
        </w:rPr>
        <w:t>n</w:t>
      </w:r>
      <w:r w:rsidRPr="00F34979">
        <w:rPr>
          <w:rFonts w:ascii="Times New Roman" w:hAnsi="Times New Roman"/>
          <w:sz w:val="24"/>
          <w:szCs w:val="24"/>
          <w:lang w:val="ro-RO"/>
        </w:rPr>
        <w:t xml:space="preserve">. tone-km, cu 17,3 % mai puțin decât în ianuarie-decembrie 2017. </w:t>
      </w:r>
    </w:p>
    <w:p w:rsidR="00AB7A26" w:rsidRPr="00317E27" w:rsidRDefault="00AB7A26" w:rsidP="00AB7A26">
      <w:pPr>
        <w:ind w:firstLine="708"/>
        <w:jc w:val="both"/>
        <w:rPr>
          <w:rFonts w:ascii="Times New Roman" w:hAnsi="Times New Roman"/>
          <w:color w:val="1D1B11"/>
          <w:sz w:val="24"/>
          <w:szCs w:val="24"/>
          <w:lang w:val="ro-MO"/>
        </w:rPr>
      </w:pPr>
      <w:r w:rsidRPr="00317E27">
        <w:rPr>
          <w:rFonts w:ascii="Times New Roman" w:hAnsi="Times New Roman"/>
          <w:color w:val="1D1B11"/>
          <w:sz w:val="24"/>
          <w:szCs w:val="24"/>
          <w:lang w:val="ro-MO"/>
        </w:rPr>
        <w:t xml:space="preserve">Dezvoltarea economico-socială a raionului în ansamblu, precum şi modificările în politica fiscal-bugetară au avut o influenţă asupra indicatorilor </w:t>
      </w:r>
      <w:r w:rsidRPr="00317E27">
        <w:rPr>
          <w:rFonts w:ascii="Times New Roman" w:hAnsi="Times New Roman"/>
          <w:b/>
          <w:color w:val="1D1B11"/>
          <w:sz w:val="24"/>
          <w:szCs w:val="24"/>
          <w:lang w:val="ro-MO"/>
        </w:rPr>
        <w:t xml:space="preserve">Bugetului Public Naţional (BPN). </w:t>
      </w:r>
      <w:r w:rsidRPr="00317E27">
        <w:rPr>
          <w:rFonts w:ascii="Times New Roman" w:hAnsi="Times New Roman"/>
          <w:color w:val="1D1B11"/>
          <w:sz w:val="24"/>
          <w:szCs w:val="24"/>
          <w:lang w:val="ro-MO"/>
        </w:rPr>
        <w:t>Conform datelor operative ale Dire</w:t>
      </w:r>
      <w:r w:rsidRPr="00317E27">
        <w:rPr>
          <w:rFonts w:ascii="Times New Roman" w:hAnsi="Times New Roman"/>
          <w:color w:val="1D1B11"/>
          <w:sz w:val="24"/>
          <w:szCs w:val="24"/>
          <w:lang w:val="ro-RO"/>
        </w:rPr>
        <w:t>cţiei Generale Administrare Fiscală Sud</w:t>
      </w:r>
      <w:r w:rsidRPr="00317E27">
        <w:rPr>
          <w:rFonts w:ascii="Times New Roman" w:hAnsi="Times New Roman"/>
          <w:color w:val="1D1B11"/>
          <w:sz w:val="24"/>
          <w:szCs w:val="24"/>
          <w:lang w:val="ro-MO"/>
        </w:rPr>
        <w:t>, în anul 201</w:t>
      </w:r>
      <w:r>
        <w:rPr>
          <w:rFonts w:ascii="Times New Roman" w:hAnsi="Times New Roman"/>
          <w:color w:val="1D1B11"/>
          <w:sz w:val="24"/>
          <w:szCs w:val="24"/>
          <w:lang w:val="ro-MO"/>
        </w:rPr>
        <w:t>8</w:t>
      </w:r>
      <w:r w:rsidRPr="00317E27">
        <w:rPr>
          <w:rFonts w:ascii="Times New Roman" w:hAnsi="Times New Roman"/>
          <w:color w:val="1D1B11"/>
          <w:sz w:val="24"/>
          <w:szCs w:val="24"/>
          <w:lang w:val="ro-MO"/>
        </w:rPr>
        <w:t xml:space="preserve"> la bugetul public național au fost acumulate venituri în sumă de </w:t>
      </w:r>
      <w:r w:rsidR="002833D1">
        <w:rPr>
          <w:rFonts w:ascii="Times New Roman" w:hAnsi="Times New Roman"/>
          <w:color w:val="1D1B11"/>
          <w:sz w:val="24"/>
          <w:szCs w:val="24"/>
          <w:lang w:val="ro-MO"/>
        </w:rPr>
        <w:t>601793,5</w:t>
      </w:r>
      <w:r w:rsidRPr="00317E27">
        <w:rPr>
          <w:rFonts w:ascii="Times New Roman" w:hAnsi="Times New Roman"/>
          <w:color w:val="1D1B11"/>
          <w:sz w:val="24"/>
          <w:szCs w:val="24"/>
          <w:lang w:val="ro-MO"/>
        </w:rPr>
        <w:t xml:space="preserve"> mii lei, cu </w:t>
      </w:r>
      <w:r w:rsidR="002833D1">
        <w:rPr>
          <w:rFonts w:ascii="Times New Roman" w:hAnsi="Times New Roman"/>
          <w:color w:val="1D1B11"/>
          <w:sz w:val="24"/>
          <w:szCs w:val="24"/>
          <w:lang w:val="ro-MO"/>
        </w:rPr>
        <w:t>8,1</w:t>
      </w:r>
      <w:r w:rsidRPr="00317E27">
        <w:rPr>
          <w:rFonts w:ascii="Times New Roman" w:hAnsi="Times New Roman"/>
          <w:color w:val="1D1B11"/>
          <w:sz w:val="24"/>
          <w:szCs w:val="24"/>
          <w:lang w:val="ro-MO"/>
        </w:rPr>
        <w:t>% mai mult faţă de anul 201</w:t>
      </w:r>
      <w:r w:rsidR="002833D1">
        <w:rPr>
          <w:rFonts w:ascii="Times New Roman" w:hAnsi="Times New Roman"/>
          <w:color w:val="1D1B11"/>
          <w:sz w:val="24"/>
          <w:szCs w:val="24"/>
          <w:lang w:val="ro-MO"/>
        </w:rPr>
        <w:t>7</w:t>
      </w:r>
      <w:r w:rsidRPr="00317E27">
        <w:rPr>
          <w:rFonts w:ascii="Times New Roman" w:hAnsi="Times New Roman"/>
          <w:color w:val="1D1B11"/>
          <w:sz w:val="24"/>
          <w:szCs w:val="24"/>
          <w:lang w:val="ro-MO"/>
        </w:rPr>
        <w:t>.</w:t>
      </w:r>
    </w:p>
    <w:p w:rsidR="00AB7A26" w:rsidRPr="00317E27" w:rsidRDefault="00AB7A26" w:rsidP="00AB7A26">
      <w:pPr>
        <w:spacing w:after="0" w:line="240" w:lineRule="auto"/>
        <w:ind w:left="-180"/>
        <w:jc w:val="center"/>
        <w:rPr>
          <w:rFonts w:ascii="Times New Roman" w:hAnsi="Times New Roman"/>
          <w:b/>
          <w:i/>
          <w:color w:val="1D1B11"/>
          <w:sz w:val="24"/>
          <w:szCs w:val="24"/>
          <w:lang w:val="ro-RO"/>
        </w:rPr>
      </w:pPr>
      <w:r w:rsidRPr="00317E27">
        <w:rPr>
          <w:rFonts w:ascii="Times New Roman" w:hAnsi="Times New Roman"/>
          <w:b/>
          <w:i/>
          <w:color w:val="1D1B11"/>
          <w:sz w:val="24"/>
          <w:szCs w:val="24"/>
          <w:lang w:val="ro-RO"/>
        </w:rPr>
        <w:t>Evoluţia veniturilor</w:t>
      </w:r>
      <w:r>
        <w:rPr>
          <w:rFonts w:ascii="Times New Roman" w:hAnsi="Times New Roman"/>
          <w:b/>
          <w:i/>
          <w:color w:val="1D1B11"/>
          <w:sz w:val="24"/>
          <w:szCs w:val="24"/>
          <w:lang w:val="ro-RO"/>
        </w:rPr>
        <w:t xml:space="preserve"> Bugetului  Public Naţional pe anii 2015-201</w:t>
      </w:r>
      <w:r w:rsidR="002833D1">
        <w:rPr>
          <w:rFonts w:ascii="Times New Roman" w:hAnsi="Times New Roman"/>
          <w:b/>
          <w:i/>
          <w:color w:val="1D1B11"/>
          <w:sz w:val="24"/>
          <w:szCs w:val="24"/>
          <w:lang w:val="ro-RO"/>
        </w:rPr>
        <w:t>8</w:t>
      </w:r>
      <w:r>
        <w:rPr>
          <w:rFonts w:ascii="Times New Roman" w:hAnsi="Times New Roman"/>
          <w:b/>
          <w:i/>
          <w:color w:val="1D1B11"/>
          <w:sz w:val="24"/>
          <w:szCs w:val="24"/>
          <w:lang w:val="ro-RO"/>
        </w:rPr>
        <w:t>,</w:t>
      </w:r>
      <w:r w:rsidRPr="00317E27">
        <w:rPr>
          <w:rFonts w:ascii="Times New Roman" w:hAnsi="Times New Roman"/>
          <w:b/>
          <w:i/>
          <w:color w:val="1D1B11"/>
          <w:sz w:val="24"/>
          <w:szCs w:val="24"/>
          <w:lang w:val="ro-RO"/>
        </w:rPr>
        <w:t xml:space="preserve"> mii lei</w:t>
      </w:r>
    </w:p>
    <w:tbl>
      <w:tblPr>
        <w:tblW w:w="8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7"/>
        <w:gridCol w:w="1134"/>
        <w:gridCol w:w="1134"/>
        <w:gridCol w:w="1275"/>
        <w:gridCol w:w="1592"/>
        <w:gridCol w:w="1592"/>
      </w:tblGrid>
      <w:tr w:rsidR="002833D1" w:rsidRPr="00246E98" w:rsidTr="002833D1">
        <w:tc>
          <w:tcPr>
            <w:tcW w:w="2127" w:type="dxa"/>
            <w:tcBorders>
              <w:top w:val="single" w:sz="4" w:space="0" w:color="000000"/>
              <w:left w:val="single" w:sz="4" w:space="0" w:color="000000"/>
              <w:bottom w:val="single" w:sz="4" w:space="0" w:color="000000"/>
              <w:right w:val="single" w:sz="4" w:space="0" w:color="000000"/>
            </w:tcBorders>
          </w:tcPr>
          <w:p w:rsidR="002833D1" w:rsidRPr="00246E98" w:rsidRDefault="002833D1" w:rsidP="00760596">
            <w:pPr>
              <w:spacing w:after="0" w:line="240" w:lineRule="auto"/>
              <w:jc w:val="both"/>
              <w:rPr>
                <w:rFonts w:ascii="Times New Roman" w:hAnsi="Times New Roman"/>
                <w:b/>
                <w:i/>
                <w:color w:val="1D1B11"/>
                <w:lang w:val="ro-RO"/>
              </w:rPr>
            </w:pPr>
          </w:p>
        </w:tc>
        <w:tc>
          <w:tcPr>
            <w:tcW w:w="1134" w:type="dxa"/>
            <w:tcBorders>
              <w:top w:val="single" w:sz="4" w:space="0" w:color="000000"/>
              <w:left w:val="single" w:sz="4" w:space="0" w:color="000000"/>
              <w:bottom w:val="single" w:sz="4" w:space="0" w:color="000000"/>
              <w:right w:val="single" w:sz="4" w:space="0" w:color="000000"/>
            </w:tcBorders>
            <w:hideMark/>
          </w:tcPr>
          <w:p w:rsidR="002833D1" w:rsidRPr="00246E98" w:rsidRDefault="002833D1" w:rsidP="00760596">
            <w:pPr>
              <w:spacing w:after="0" w:line="240" w:lineRule="auto"/>
              <w:jc w:val="both"/>
              <w:rPr>
                <w:rFonts w:ascii="Times New Roman" w:hAnsi="Times New Roman"/>
                <w:b/>
                <w:i/>
                <w:color w:val="1D1B11"/>
                <w:lang w:val="ro-RO"/>
              </w:rPr>
            </w:pPr>
            <w:r w:rsidRPr="00246E98">
              <w:rPr>
                <w:rFonts w:ascii="Times New Roman" w:hAnsi="Times New Roman"/>
                <w:b/>
                <w:i/>
                <w:color w:val="1D1B11"/>
                <w:lang w:val="ro-RO"/>
              </w:rPr>
              <w:t>Anul 2015</w:t>
            </w:r>
          </w:p>
        </w:tc>
        <w:tc>
          <w:tcPr>
            <w:tcW w:w="1134" w:type="dxa"/>
            <w:tcBorders>
              <w:top w:val="single" w:sz="4" w:space="0" w:color="000000"/>
              <w:left w:val="single" w:sz="4" w:space="0" w:color="000000"/>
              <w:bottom w:val="single" w:sz="4" w:space="0" w:color="000000"/>
              <w:right w:val="single" w:sz="4" w:space="0" w:color="000000"/>
            </w:tcBorders>
            <w:hideMark/>
          </w:tcPr>
          <w:p w:rsidR="002833D1" w:rsidRPr="00246E98" w:rsidRDefault="002833D1" w:rsidP="00760596">
            <w:pPr>
              <w:spacing w:after="0" w:line="240" w:lineRule="auto"/>
              <w:jc w:val="both"/>
              <w:rPr>
                <w:rFonts w:ascii="Times New Roman" w:hAnsi="Times New Roman"/>
                <w:b/>
                <w:i/>
                <w:color w:val="1D1B11"/>
                <w:lang w:val="ro-RO"/>
              </w:rPr>
            </w:pPr>
            <w:r w:rsidRPr="00246E98">
              <w:rPr>
                <w:rFonts w:ascii="Times New Roman" w:hAnsi="Times New Roman"/>
                <w:b/>
                <w:i/>
                <w:color w:val="1D1B11"/>
                <w:lang w:val="ro-RO"/>
              </w:rPr>
              <w:t>Anul 2016</w:t>
            </w:r>
          </w:p>
        </w:tc>
        <w:tc>
          <w:tcPr>
            <w:tcW w:w="1275" w:type="dxa"/>
            <w:tcBorders>
              <w:top w:val="single" w:sz="4" w:space="0" w:color="000000"/>
              <w:left w:val="single" w:sz="4" w:space="0" w:color="000000"/>
              <w:bottom w:val="single" w:sz="4" w:space="0" w:color="000000"/>
              <w:right w:val="single" w:sz="4" w:space="0" w:color="000000"/>
            </w:tcBorders>
            <w:hideMark/>
          </w:tcPr>
          <w:p w:rsidR="002833D1" w:rsidRPr="00246E98" w:rsidRDefault="002833D1" w:rsidP="00760596">
            <w:pPr>
              <w:spacing w:after="0" w:line="240" w:lineRule="auto"/>
              <w:jc w:val="both"/>
              <w:rPr>
                <w:rFonts w:ascii="Times New Roman" w:hAnsi="Times New Roman"/>
                <w:b/>
                <w:i/>
                <w:color w:val="1D1B11"/>
                <w:lang w:val="ro-RO"/>
              </w:rPr>
            </w:pPr>
            <w:r w:rsidRPr="00246E98">
              <w:rPr>
                <w:rFonts w:ascii="Times New Roman" w:hAnsi="Times New Roman"/>
                <w:b/>
                <w:i/>
                <w:color w:val="1D1B11"/>
                <w:lang w:val="ro-RO"/>
              </w:rPr>
              <w:t>Anul 2017</w:t>
            </w:r>
          </w:p>
        </w:tc>
        <w:tc>
          <w:tcPr>
            <w:tcW w:w="1592" w:type="dxa"/>
            <w:tcBorders>
              <w:top w:val="single" w:sz="4" w:space="0" w:color="000000"/>
              <w:left w:val="single" w:sz="4" w:space="0" w:color="000000"/>
              <w:bottom w:val="single" w:sz="4" w:space="0" w:color="000000"/>
              <w:right w:val="single" w:sz="4" w:space="0" w:color="000000"/>
            </w:tcBorders>
          </w:tcPr>
          <w:p w:rsidR="002833D1" w:rsidRPr="00246E98" w:rsidRDefault="002833D1" w:rsidP="00760596">
            <w:pPr>
              <w:spacing w:after="0" w:line="240" w:lineRule="auto"/>
              <w:jc w:val="both"/>
              <w:rPr>
                <w:rFonts w:ascii="Times New Roman" w:hAnsi="Times New Roman"/>
                <w:b/>
                <w:i/>
                <w:color w:val="1D1B11"/>
                <w:lang w:val="ro-RO"/>
              </w:rPr>
            </w:pPr>
            <w:r w:rsidRPr="00246E98">
              <w:rPr>
                <w:rFonts w:ascii="Times New Roman" w:hAnsi="Times New Roman"/>
                <w:b/>
                <w:i/>
                <w:color w:val="1D1B11"/>
                <w:lang w:val="ro-RO"/>
              </w:rPr>
              <w:t>Anul 2018</w:t>
            </w:r>
          </w:p>
        </w:tc>
        <w:tc>
          <w:tcPr>
            <w:tcW w:w="1592" w:type="dxa"/>
            <w:tcBorders>
              <w:top w:val="single" w:sz="4" w:space="0" w:color="000000"/>
              <w:left w:val="single" w:sz="4" w:space="0" w:color="000000"/>
              <w:bottom w:val="single" w:sz="4" w:space="0" w:color="000000"/>
              <w:right w:val="single" w:sz="4" w:space="0" w:color="000000"/>
            </w:tcBorders>
            <w:hideMark/>
          </w:tcPr>
          <w:p w:rsidR="002833D1" w:rsidRPr="00246E98" w:rsidRDefault="002833D1" w:rsidP="00760596">
            <w:pPr>
              <w:spacing w:after="0" w:line="240" w:lineRule="auto"/>
              <w:jc w:val="both"/>
              <w:rPr>
                <w:rFonts w:ascii="Times New Roman" w:hAnsi="Times New Roman"/>
                <w:b/>
                <w:i/>
                <w:color w:val="1D1B11"/>
                <w:lang w:val="ro-RO"/>
              </w:rPr>
            </w:pPr>
            <w:r w:rsidRPr="00246E98">
              <w:rPr>
                <w:rFonts w:ascii="Times New Roman" w:hAnsi="Times New Roman"/>
                <w:b/>
                <w:i/>
                <w:color w:val="1D1B11"/>
                <w:lang w:val="ro-RO"/>
              </w:rPr>
              <w:t>% anul 2017 către 2016</w:t>
            </w:r>
          </w:p>
        </w:tc>
      </w:tr>
      <w:tr w:rsidR="002833D1" w:rsidRPr="00317E27" w:rsidTr="002833D1">
        <w:tc>
          <w:tcPr>
            <w:tcW w:w="2127" w:type="dxa"/>
            <w:tcBorders>
              <w:top w:val="single" w:sz="4" w:space="0" w:color="000000"/>
              <w:left w:val="single" w:sz="4" w:space="0" w:color="000000"/>
              <w:bottom w:val="single" w:sz="4" w:space="0" w:color="000000"/>
              <w:right w:val="single" w:sz="4" w:space="0" w:color="000000"/>
            </w:tcBorders>
            <w:hideMark/>
          </w:tcPr>
          <w:p w:rsidR="002833D1" w:rsidRPr="00246E98" w:rsidRDefault="002833D1" w:rsidP="00760596">
            <w:pPr>
              <w:spacing w:after="0" w:line="240" w:lineRule="auto"/>
              <w:jc w:val="both"/>
              <w:rPr>
                <w:rFonts w:ascii="Times New Roman" w:hAnsi="Times New Roman"/>
                <w:b/>
                <w:i/>
                <w:color w:val="1D1B11"/>
                <w:lang w:val="ro-RO"/>
              </w:rPr>
            </w:pPr>
            <w:r w:rsidRPr="00246E98">
              <w:rPr>
                <w:rFonts w:ascii="Times New Roman" w:hAnsi="Times New Roman"/>
                <w:b/>
                <w:i/>
                <w:color w:val="1D1B11"/>
                <w:lang w:val="ro-RO"/>
              </w:rPr>
              <w:t>Bugetul public naţional, mii lei</w:t>
            </w:r>
          </w:p>
        </w:tc>
        <w:tc>
          <w:tcPr>
            <w:tcW w:w="1134" w:type="dxa"/>
            <w:tcBorders>
              <w:top w:val="single" w:sz="4" w:space="0" w:color="000000"/>
              <w:left w:val="single" w:sz="4" w:space="0" w:color="000000"/>
              <w:bottom w:val="single" w:sz="4" w:space="0" w:color="000000"/>
              <w:right w:val="single" w:sz="4" w:space="0" w:color="000000"/>
            </w:tcBorders>
            <w:hideMark/>
          </w:tcPr>
          <w:p w:rsidR="002833D1" w:rsidRPr="00246E98" w:rsidRDefault="002833D1" w:rsidP="00760596">
            <w:pPr>
              <w:spacing w:after="0" w:line="240" w:lineRule="auto"/>
              <w:jc w:val="both"/>
              <w:rPr>
                <w:rFonts w:ascii="Times New Roman" w:hAnsi="Times New Roman"/>
                <w:b/>
                <w:i/>
                <w:color w:val="1D1B11"/>
                <w:lang w:val="ro-RO"/>
              </w:rPr>
            </w:pPr>
            <w:r w:rsidRPr="00246E98">
              <w:rPr>
                <w:rFonts w:ascii="Times New Roman" w:hAnsi="Times New Roman"/>
                <w:b/>
                <w:i/>
                <w:color w:val="1D1B11"/>
                <w:lang w:val="ro-RO"/>
              </w:rPr>
              <w:t>423737.9</w:t>
            </w:r>
          </w:p>
        </w:tc>
        <w:tc>
          <w:tcPr>
            <w:tcW w:w="1134" w:type="dxa"/>
            <w:tcBorders>
              <w:top w:val="single" w:sz="4" w:space="0" w:color="000000"/>
              <w:left w:val="single" w:sz="4" w:space="0" w:color="000000"/>
              <w:bottom w:val="single" w:sz="4" w:space="0" w:color="000000"/>
              <w:right w:val="single" w:sz="4" w:space="0" w:color="000000"/>
            </w:tcBorders>
            <w:hideMark/>
          </w:tcPr>
          <w:p w:rsidR="002833D1" w:rsidRPr="00246E98" w:rsidRDefault="002833D1" w:rsidP="00760596">
            <w:pPr>
              <w:spacing w:after="0" w:line="240" w:lineRule="auto"/>
              <w:jc w:val="both"/>
              <w:rPr>
                <w:rFonts w:ascii="Times New Roman" w:hAnsi="Times New Roman"/>
                <w:b/>
                <w:i/>
                <w:color w:val="1D1B11"/>
                <w:lang w:val="ro-RO"/>
              </w:rPr>
            </w:pPr>
            <w:r w:rsidRPr="00246E98">
              <w:rPr>
                <w:rFonts w:ascii="Times New Roman" w:hAnsi="Times New Roman"/>
                <w:b/>
                <w:i/>
                <w:color w:val="1D1B11"/>
                <w:lang w:val="ro-RO"/>
              </w:rPr>
              <w:t>467894,5</w:t>
            </w:r>
          </w:p>
        </w:tc>
        <w:tc>
          <w:tcPr>
            <w:tcW w:w="1275" w:type="dxa"/>
            <w:tcBorders>
              <w:top w:val="single" w:sz="4" w:space="0" w:color="000000"/>
              <w:left w:val="single" w:sz="4" w:space="0" w:color="000000"/>
              <w:bottom w:val="single" w:sz="4" w:space="0" w:color="000000"/>
              <w:right w:val="single" w:sz="4" w:space="0" w:color="000000"/>
            </w:tcBorders>
            <w:hideMark/>
          </w:tcPr>
          <w:p w:rsidR="002833D1" w:rsidRPr="00246E98" w:rsidRDefault="002833D1" w:rsidP="00760596">
            <w:pPr>
              <w:spacing w:after="0" w:line="240" w:lineRule="auto"/>
              <w:jc w:val="both"/>
              <w:rPr>
                <w:rFonts w:ascii="Times New Roman" w:hAnsi="Times New Roman"/>
                <w:b/>
                <w:i/>
                <w:color w:val="1D1B11"/>
                <w:lang w:val="ro-RO"/>
              </w:rPr>
            </w:pPr>
            <w:r w:rsidRPr="00246E98">
              <w:rPr>
                <w:rFonts w:ascii="Times New Roman" w:hAnsi="Times New Roman"/>
                <w:b/>
                <w:i/>
                <w:color w:val="1D1B11"/>
                <w:lang w:val="ro-RO"/>
              </w:rPr>
              <w:t>556896,1</w:t>
            </w:r>
          </w:p>
        </w:tc>
        <w:tc>
          <w:tcPr>
            <w:tcW w:w="1592" w:type="dxa"/>
            <w:tcBorders>
              <w:top w:val="single" w:sz="4" w:space="0" w:color="000000"/>
              <w:left w:val="single" w:sz="4" w:space="0" w:color="000000"/>
              <w:bottom w:val="single" w:sz="4" w:space="0" w:color="000000"/>
              <w:right w:val="single" w:sz="4" w:space="0" w:color="000000"/>
            </w:tcBorders>
          </w:tcPr>
          <w:p w:rsidR="002833D1" w:rsidRPr="00246E98" w:rsidRDefault="002833D1" w:rsidP="00760596">
            <w:pPr>
              <w:spacing w:after="0" w:line="240" w:lineRule="auto"/>
              <w:jc w:val="both"/>
              <w:rPr>
                <w:rFonts w:ascii="Times New Roman" w:hAnsi="Times New Roman"/>
                <w:b/>
                <w:i/>
                <w:color w:val="1D1B11"/>
                <w:lang w:val="ro-RO"/>
              </w:rPr>
            </w:pPr>
            <w:r w:rsidRPr="00246E98">
              <w:rPr>
                <w:rFonts w:ascii="Times New Roman" w:hAnsi="Times New Roman"/>
                <w:b/>
                <w:i/>
                <w:color w:val="1D1B11"/>
                <w:lang w:val="ro-RO"/>
              </w:rPr>
              <w:t>601793,5</w:t>
            </w:r>
          </w:p>
        </w:tc>
        <w:tc>
          <w:tcPr>
            <w:tcW w:w="1592" w:type="dxa"/>
            <w:tcBorders>
              <w:top w:val="single" w:sz="4" w:space="0" w:color="000000"/>
              <w:left w:val="single" w:sz="4" w:space="0" w:color="000000"/>
              <w:bottom w:val="single" w:sz="4" w:space="0" w:color="000000"/>
              <w:right w:val="single" w:sz="4" w:space="0" w:color="000000"/>
            </w:tcBorders>
            <w:hideMark/>
          </w:tcPr>
          <w:p w:rsidR="002833D1" w:rsidRPr="00246E98" w:rsidRDefault="002833D1" w:rsidP="002833D1">
            <w:pPr>
              <w:spacing w:after="0" w:line="240" w:lineRule="auto"/>
              <w:jc w:val="both"/>
              <w:rPr>
                <w:rFonts w:ascii="Times New Roman" w:hAnsi="Times New Roman"/>
                <w:b/>
                <w:i/>
                <w:color w:val="1D1B11"/>
                <w:lang w:val="ro-RO"/>
              </w:rPr>
            </w:pPr>
            <w:r w:rsidRPr="00246E98">
              <w:rPr>
                <w:rFonts w:ascii="Times New Roman" w:hAnsi="Times New Roman"/>
                <w:b/>
                <w:i/>
                <w:color w:val="1D1B11"/>
                <w:lang w:val="ro-RO"/>
              </w:rPr>
              <w:t>108,1</w:t>
            </w:r>
          </w:p>
        </w:tc>
      </w:tr>
      <w:tr w:rsidR="002833D1" w:rsidRPr="00246E98" w:rsidTr="002833D1">
        <w:tc>
          <w:tcPr>
            <w:tcW w:w="2127" w:type="dxa"/>
            <w:tcBorders>
              <w:top w:val="single" w:sz="4" w:space="0" w:color="000000"/>
              <w:left w:val="single" w:sz="4" w:space="0" w:color="000000"/>
              <w:bottom w:val="single" w:sz="4" w:space="0" w:color="000000"/>
              <w:right w:val="single" w:sz="4" w:space="0" w:color="000000"/>
            </w:tcBorders>
            <w:hideMark/>
          </w:tcPr>
          <w:p w:rsidR="002833D1" w:rsidRPr="00246E98" w:rsidRDefault="002833D1" w:rsidP="00760596">
            <w:pPr>
              <w:spacing w:after="0" w:line="240" w:lineRule="auto"/>
              <w:jc w:val="both"/>
              <w:rPr>
                <w:rFonts w:ascii="Times New Roman" w:hAnsi="Times New Roman"/>
                <w:b/>
                <w:i/>
                <w:color w:val="1D1B11"/>
                <w:lang w:val="ro-RO"/>
              </w:rPr>
            </w:pPr>
            <w:r w:rsidRPr="00246E98">
              <w:rPr>
                <w:rFonts w:ascii="Times New Roman" w:hAnsi="Times New Roman"/>
                <w:b/>
                <w:i/>
                <w:color w:val="1D1B11"/>
                <w:lang w:val="ro-RO"/>
              </w:rPr>
              <w:t>Bugetul consolidat, mii lei, inclusiv:</w:t>
            </w:r>
          </w:p>
        </w:tc>
        <w:tc>
          <w:tcPr>
            <w:tcW w:w="1134" w:type="dxa"/>
            <w:tcBorders>
              <w:top w:val="single" w:sz="4" w:space="0" w:color="000000"/>
              <w:left w:val="single" w:sz="4" w:space="0" w:color="000000"/>
              <w:bottom w:val="single" w:sz="4" w:space="0" w:color="000000"/>
              <w:right w:val="single" w:sz="4" w:space="0" w:color="000000"/>
            </w:tcBorders>
            <w:hideMark/>
          </w:tcPr>
          <w:p w:rsidR="002833D1" w:rsidRPr="00246E98" w:rsidRDefault="002833D1" w:rsidP="00760596">
            <w:pPr>
              <w:spacing w:after="0" w:line="240" w:lineRule="auto"/>
              <w:jc w:val="both"/>
              <w:rPr>
                <w:rFonts w:ascii="Times New Roman" w:hAnsi="Times New Roman"/>
                <w:b/>
                <w:i/>
                <w:color w:val="1D1B11"/>
                <w:lang w:val="ro-RO"/>
              </w:rPr>
            </w:pPr>
            <w:r w:rsidRPr="00246E98">
              <w:rPr>
                <w:rFonts w:ascii="Times New Roman" w:hAnsi="Times New Roman"/>
                <w:b/>
                <w:i/>
                <w:color w:val="1D1B11"/>
                <w:lang w:val="ro-RO"/>
              </w:rPr>
              <w:t>199078.6</w:t>
            </w:r>
          </w:p>
        </w:tc>
        <w:tc>
          <w:tcPr>
            <w:tcW w:w="1134" w:type="dxa"/>
            <w:tcBorders>
              <w:top w:val="single" w:sz="4" w:space="0" w:color="000000"/>
              <w:left w:val="single" w:sz="4" w:space="0" w:color="000000"/>
              <w:bottom w:val="single" w:sz="4" w:space="0" w:color="000000"/>
              <w:right w:val="single" w:sz="4" w:space="0" w:color="000000"/>
            </w:tcBorders>
            <w:hideMark/>
          </w:tcPr>
          <w:p w:rsidR="002833D1" w:rsidRPr="00246E98" w:rsidRDefault="002833D1" w:rsidP="00760596">
            <w:pPr>
              <w:spacing w:after="0" w:line="240" w:lineRule="auto"/>
              <w:jc w:val="both"/>
              <w:rPr>
                <w:rFonts w:ascii="Times New Roman" w:hAnsi="Times New Roman"/>
                <w:b/>
                <w:i/>
                <w:color w:val="1D1B11"/>
                <w:lang w:val="ro-RO"/>
              </w:rPr>
            </w:pPr>
            <w:r w:rsidRPr="00246E98">
              <w:rPr>
                <w:rFonts w:ascii="Times New Roman" w:hAnsi="Times New Roman"/>
                <w:b/>
                <w:i/>
                <w:color w:val="1D1B11"/>
                <w:lang w:val="ro-RO"/>
              </w:rPr>
              <w:t>230879,2</w:t>
            </w:r>
          </w:p>
        </w:tc>
        <w:tc>
          <w:tcPr>
            <w:tcW w:w="1275" w:type="dxa"/>
            <w:tcBorders>
              <w:top w:val="single" w:sz="4" w:space="0" w:color="000000"/>
              <w:left w:val="single" w:sz="4" w:space="0" w:color="000000"/>
              <w:bottom w:val="single" w:sz="4" w:space="0" w:color="000000"/>
              <w:right w:val="single" w:sz="4" w:space="0" w:color="000000"/>
            </w:tcBorders>
            <w:hideMark/>
          </w:tcPr>
          <w:p w:rsidR="002833D1" w:rsidRPr="00246E98" w:rsidRDefault="002833D1" w:rsidP="00760596">
            <w:pPr>
              <w:spacing w:after="0" w:line="240" w:lineRule="auto"/>
              <w:jc w:val="both"/>
              <w:rPr>
                <w:rFonts w:ascii="Times New Roman" w:hAnsi="Times New Roman"/>
                <w:b/>
                <w:i/>
                <w:color w:val="1D1B11"/>
                <w:lang w:val="ro-RO"/>
              </w:rPr>
            </w:pPr>
            <w:r w:rsidRPr="00246E98">
              <w:rPr>
                <w:rFonts w:ascii="Times New Roman" w:hAnsi="Times New Roman"/>
                <w:b/>
                <w:i/>
                <w:color w:val="1D1B11"/>
                <w:lang w:val="ro-RO"/>
              </w:rPr>
              <w:t>269275,1</w:t>
            </w:r>
          </w:p>
        </w:tc>
        <w:tc>
          <w:tcPr>
            <w:tcW w:w="1592" w:type="dxa"/>
            <w:tcBorders>
              <w:top w:val="single" w:sz="4" w:space="0" w:color="000000"/>
              <w:left w:val="single" w:sz="4" w:space="0" w:color="000000"/>
              <w:bottom w:val="single" w:sz="4" w:space="0" w:color="000000"/>
              <w:right w:val="single" w:sz="4" w:space="0" w:color="000000"/>
            </w:tcBorders>
          </w:tcPr>
          <w:p w:rsidR="002833D1" w:rsidRPr="00246E98" w:rsidRDefault="002833D1" w:rsidP="00760596">
            <w:pPr>
              <w:spacing w:after="0" w:line="240" w:lineRule="auto"/>
              <w:jc w:val="both"/>
              <w:rPr>
                <w:rFonts w:ascii="Times New Roman" w:hAnsi="Times New Roman"/>
                <w:b/>
                <w:i/>
                <w:color w:val="1D1B11"/>
                <w:lang w:val="ro-RO"/>
              </w:rPr>
            </w:pPr>
            <w:r w:rsidRPr="00246E98">
              <w:rPr>
                <w:rFonts w:ascii="Times New Roman" w:hAnsi="Times New Roman"/>
                <w:b/>
                <w:i/>
                <w:color w:val="1D1B11"/>
                <w:lang w:val="ro-RO"/>
              </w:rPr>
              <w:t>275432,9</w:t>
            </w:r>
          </w:p>
        </w:tc>
        <w:tc>
          <w:tcPr>
            <w:tcW w:w="1592" w:type="dxa"/>
            <w:tcBorders>
              <w:top w:val="single" w:sz="4" w:space="0" w:color="000000"/>
              <w:left w:val="single" w:sz="4" w:space="0" w:color="000000"/>
              <w:bottom w:val="single" w:sz="4" w:space="0" w:color="000000"/>
              <w:right w:val="single" w:sz="4" w:space="0" w:color="000000"/>
            </w:tcBorders>
            <w:hideMark/>
          </w:tcPr>
          <w:p w:rsidR="002833D1" w:rsidRPr="00246E98" w:rsidRDefault="002833D1" w:rsidP="002833D1">
            <w:pPr>
              <w:spacing w:after="0" w:line="240" w:lineRule="auto"/>
              <w:jc w:val="both"/>
              <w:rPr>
                <w:rFonts w:ascii="Times New Roman" w:hAnsi="Times New Roman"/>
                <w:b/>
                <w:i/>
                <w:color w:val="1D1B11"/>
                <w:lang w:val="ro-RO"/>
              </w:rPr>
            </w:pPr>
            <w:r w:rsidRPr="00246E98">
              <w:rPr>
                <w:rFonts w:ascii="Times New Roman" w:hAnsi="Times New Roman"/>
                <w:b/>
                <w:i/>
                <w:color w:val="1D1B11"/>
                <w:lang w:val="ro-RO"/>
              </w:rPr>
              <w:t>102,3</w:t>
            </w:r>
          </w:p>
        </w:tc>
      </w:tr>
      <w:tr w:rsidR="002833D1" w:rsidRPr="00246E98" w:rsidTr="002833D1">
        <w:tc>
          <w:tcPr>
            <w:tcW w:w="2127" w:type="dxa"/>
            <w:tcBorders>
              <w:top w:val="single" w:sz="4" w:space="0" w:color="000000"/>
              <w:left w:val="single" w:sz="4" w:space="0" w:color="000000"/>
              <w:bottom w:val="single" w:sz="4" w:space="0" w:color="000000"/>
              <w:right w:val="single" w:sz="4" w:space="0" w:color="000000"/>
            </w:tcBorders>
            <w:hideMark/>
          </w:tcPr>
          <w:p w:rsidR="002833D1" w:rsidRPr="00246E98" w:rsidRDefault="002833D1" w:rsidP="00760596">
            <w:pPr>
              <w:spacing w:after="0" w:line="240" w:lineRule="auto"/>
              <w:jc w:val="both"/>
              <w:rPr>
                <w:rFonts w:ascii="Times New Roman" w:hAnsi="Times New Roman"/>
                <w:i/>
                <w:color w:val="1D1B11"/>
                <w:lang w:val="ro-RO"/>
              </w:rPr>
            </w:pPr>
            <w:r w:rsidRPr="00246E98">
              <w:rPr>
                <w:rFonts w:ascii="Times New Roman" w:hAnsi="Times New Roman"/>
                <w:i/>
                <w:color w:val="1D1B11"/>
                <w:lang w:val="ro-RO"/>
              </w:rPr>
              <w:t xml:space="preserve">Bugetul de stat, mii </w:t>
            </w:r>
            <w:r w:rsidRPr="00246E98">
              <w:rPr>
                <w:rFonts w:ascii="Times New Roman" w:hAnsi="Times New Roman"/>
                <w:i/>
                <w:color w:val="1D1B11"/>
                <w:lang w:val="ro-RO"/>
              </w:rPr>
              <w:lastRenderedPageBreak/>
              <w:t>lei</w:t>
            </w:r>
          </w:p>
        </w:tc>
        <w:tc>
          <w:tcPr>
            <w:tcW w:w="1134" w:type="dxa"/>
            <w:tcBorders>
              <w:top w:val="single" w:sz="4" w:space="0" w:color="000000"/>
              <w:left w:val="single" w:sz="4" w:space="0" w:color="000000"/>
              <w:bottom w:val="single" w:sz="4" w:space="0" w:color="000000"/>
              <w:right w:val="single" w:sz="4" w:space="0" w:color="000000"/>
            </w:tcBorders>
            <w:hideMark/>
          </w:tcPr>
          <w:p w:rsidR="002833D1" w:rsidRPr="00246E98" w:rsidRDefault="002833D1" w:rsidP="00760596">
            <w:pPr>
              <w:spacing w:after="0" w:line="240" w:lineRule="auto"/>
              <w:jc w:val="both"/>
              <w:rPr>
                <w:rFonts w:ascii="Times New Roman" w:hAnsi="Times New Roman"/>
                <w:i/>
                <w:color w:val="1D1B11"/>
                <w:lang w:val="ro-RO"/>
              </w:rPr>
            </w:pPr>
            <w:r w:rsidRPr="00246E98">
              <w:rPr>
                <w:rFonts w:ascii="Times New Roman" w:hAnsi="Times New Roman"/>
                <w:i/>
                <w:color w:val="1D1B11"/>
                <w:lang w:val="ro-RO"/>
              </w:rPr>
              <w:lastRenderedPageBreak/>
              <w:t>118750.5</w:t>
            </w:r>
          </w:p>
        </w:tc>
        <w:tc>
          <w:tcPr>
            <w:tcW w:w="1134" w:type="dxa"/>
            <w:tcBorders>
              <w:top w:val="single" w:sz="4" w:space="0" w:color="000000"/>
              <w:left w:val="single" w:sz="4" w:space="0" w:color="000000"/>
              <w:bottom w:val="single" w:sz="4" w:space="0" w:color="000000"/>
              <w:right w:val="single" w:sz="4" w:space="0" w:color="000000"/>
            </w:tcBorders>
            <w:hideMark/>
          </w:tcPr>
          <w:p w:rsidR="002833D1" w:rsidRPr="00246E98" w:rsidRDefault="002833D1" w:rsidP="00760596">
            <w:pPr>
              <w:spacing w:after="0" w:line="240" w:lineRule="auto"/>
              <w:jc w:val="both"/>
              <w:rPr>
                <w:rFonts w:ascii="Times New Roman" w:hAnsi="Times New Roman"/>
                <w:i/>
                <w:color w:val="1D1B11"/>
                <w:lang w:val="ro-RO"/>
              </w:rPr>
            </w:pPr>
            <w:r w:rsidRPr="00246E98">
              <w:rPr>
                <w:rFonts w:ascii="Times New Roman" w:hAnsi="Times New Roman"/>
                <w:i/>
                <w:color w:val="1D1B11"/>
                <w:lang w:val="ro-RO"/>
              </w:rPr>
              <w:t>146198,8</w:t>
            </w:r>
          </w:p>
        </w:tc>
        <w:tc>
          <w:tcPr>
            <w:tcW w:w="1275" w:type="dxa"/>
            <w:tcBorders>
              <w:top w:val="single" w:sz="4" w:space="0" w:color="000000"/>
              <w:left w:val="single" w:sz="4" w:space="0" w:color="000000"/>
              <w:bottom w:val="single" w:sz="4" w:space="0" w:color="000000"/>
              <w:right w:val="single" w:sz="4" w:space="0" w:color="000000"/>
            </w:tcBorders>
            <w:hideMark/>
          </w:tcPr>
          <w:p w:rsidR="002833D1" w:rsidRPr="00246E98" w:rsidRDefault="002833D1" w:rsidP="00760596">
            <w:pPr>
              <w:spacing w:after="0" w:line="240" w:lineRule="auto"/>
              <w:jc w:val="both"/>
              <w:rPr>
                <w:rFonts w:ascii="Times New Roman" w:hAnsi="Times New Roman"/>
                <w:i/>
                <w:color w:val="1D1B11"/>
                <w:lang w:val="ro-RO"/>
              </w:rPr>
            </w:pPr>
            <w:r w:rsidRPr="00246E98">
              <w:rPr>
                <w:rFonts w:ascii="Times New Roman" w:hAnsi="Times New Roman"/>
                <w:i/>
                <w:color w:val="1D1B11"/>
                <w:lang w:val="ro-RO"/>
              </w:rPr>
              <w:t>181890,2</w:t>
            </w:r>
          </w:p>
        </w:tc>
        <w:tc>
          <w:tcPr>
            <w:tcW w:w="1592" w:type="dxa"/>
            <w:tcBorders>
              <w:top w:val="single" w:sz="4" w:space="0" w:color="000000"/>
              <w:left w:val="single" w:sz="4" w:space="0" w:color="000000"/>
              <w:bottom w:val="single" w:sz="4" w:space="0" w:color="000000"/>
              <w:right w:val="single" w:sz="4" w:space="0" w:color="000000"/>
            </w:tcBorders>
          </w:tcPr>
          <w:p w:rsidR="002833D1" w:rsidRPr="00246E98" w:rsidRDefault="002833D1" w:rsidP="00760596">
            <w:pPr>
              <w:spacing w:after="0" w:line="240" w:lineRule="auto"/>
              <w:jc w:val="both"/>
              <w:rPr>
                <w:rFonts w:ascii="Times New Roman" w:hAnsi="Times New Roman"/>
                <w:i/>
                <w:color w:val="1D1B11"/>
                <w:lang w:val="ro-RO"/>
              </w:rPr>
            </w:pPr>
            <w:r w:rsidRPr="00246E98">
              <w:rPr>
                <w:rFonts w:ascii="Times New Roman" w:hAnsi="Times New Roman"/>
                <w:i/>
                <w:color w:val="1D1B11"/>
                <w:lang w:val="ro-RO"/>
              </w:rPr>
              <w:t>174054,9</w:t>
            </w:r>
          </w:p>
        </w:tc>
        <w:tc>
          <w:tcPr>
            <w:tcW w:w="1592" w:type="dxa"/>
            <w:tcBorders>
              <w:top w:val="single" w:sz="4" w:space="0" w:color="000000"/>
              <w:left w:val="single" w:sz="4" w:space="0" w:color="000000"/>
              <w:bottom w:val="single" w:sz="4" w:space="0" w:color="000000"/>
              <w:right w:val="single" w:sz="4" w:space="0" w:color="000000"/>
            </w:tcBorders>
            <w:hideMark/>
          </w:tcPr>
          <w:p w:rsidR="002833D1" w:rsidRPr="00246E98" w:rsidRDefault="002833D1" w:rsidP="002833D1">
            <w:pPr>
              <w:spacing w:after="0" w:line="240" w:lineRule="auto"/>
              <w:jc w:val="both"/>
              <w:rPr>
                <w:rFonts w:ascii="Times New Roman" w:hAnsi="Times New Roman"/>
                <w:i/>
                <w:color w:val="1D1B11"/>
                <w:lang w:val="ro-RO"/>
              </w:rPr>
            </w:pPr>
            <w:r w:rsidRPr="00246E98">
              <w:rPr>
                <w:rFonts w:ascii="Times New Roman" w:hAnsi="Times New Roman"/>
                <w:i/>
                <w:color w:val="1D1B11"/>
                <w:lang w:val="ro-RO"/>
              </w:rPr>
              <w:t>95,7</w:t>
            </w:r>
          </w:p>
        </w:tc>
      </w:tr>
      <w:tr w:rsidR="002833D1" w:rsidRPr="00246E98" w:rsidTr="002833D1">
        <w:tc>
          <w:tcPr>
            <w:tcW w:w="2127" w:type="dxa"/>
            <w:tcBorders>
              <w:top w:val="single" w:sz="4" w:space="0" w:color="000000"/>
              <w:left w:val="single" w:sz="4" w:space="0" w:color="000000"/>
              <w:bottom w:val="single" w:sz="4" w:space="0" w:color="000000"/>
              <w:right w:val="single" w:sz="4" w:space="0" w:color="000000"/>
            </w:tcBorders>
            <w:hideMark/>
          </w:tcPr>
          <w:p w:rsidR="002833D1" w:rsidRPr="00246E98" w:rsidRDefault="002833D1" w:rsidP="00760596">
            <w:pPr>
              <w:spacing w:after="0" w:line="240" w:lineRule="auto"/>
              <w:jc w:val="both"/>
              <w:rPr>
                <w:rFonts w:ascii="Times New Roman" w:hAnsi="Times New Roman"/>
                <w:i/>
                <w:color w:val="1D1B11"/>
                <w:lang w:val="ro-RO"/>
              </w:rPr>
            </w:pPr>
            <w:r w:rsidRPr="00246E98">
              <w:rPr>
                <w:rFonts w:ascii="Times New Roman" w:hAnsi="Times New Roman"/>
                <w:i/>
                <w:color w:val="1D1B11"/>
                <w:lang w:val="ro-RO"/>
              </w:rPr>
              <w:lastRenderedPageBreak/>
              <w:t>Bugetul local, mii lei</w:t>
            </w:r>
          </w:p>
        </w:tc>
        <w:tc>
          <w:tcPr>
            <w:tcW w:w="1134" w:type="dxa"/>
            <w:tcBorders>
              <w:top w:val="single" w:sz="4" w:space="0" w:color="000000"/>
              <w:left w:val="single" w:sz="4" w:space="0" w:color="000000"/>
              <w:bottom w:val="single" w:sz="4" w:space="0" w:color="000000"/>
              <w:right w:val="single" w:sz="4" w:space="0" w:color="000000"/>
            </w:tcBorders>
            <w:hideMark/>
          </w:tcPr>
          <w:p w:rsidR="002833D1" w:rsidRPr="00246E98" w:rsidRDefault="002833D1" w:rsidP="00760596">
            <w:pPr>
              <w:spacing w:after="0" w:line="240" w:lineRule="auto"/>
              <w:jc w:val="both"/>
              <w:rPr>
                <w:rFonts w:ascii="Times New Roman" w:hAnsi="Times New Roman"/>
                <w:i/>
                <w:color w:val="1D1B11"/>
                <w:lang w:val="ro-RO"/>
              </w:rPr>
            </w:pPr>
            <w:r w:rsidRPr="00246E98">
              <w:rPr>
                <w:rFonts w:ascii="Times New Roman" w:hAnsi="Times New Roman"/>
                <w:i/>
                <w:color w:val="1D1B11"/>
                <w:lang w:val="ro-RO"/>
              </w:rPr>
              <w:t>80328.1</w:t>
            </w:r>
          </w:p>
        </w:tc>
        <w:tc>
          <w:tcPr>
            <w:tcW w:w="1134" w:type="dxa"/>
            <w:tcBorders>
              <w:top w:val="single" w:sz="4" w:space="0" w:color="000000"/>
              <w:left w:val="single" w:sz="4" w:space="0" w:color="000000"/>
              <w:bottom w:val="single" w:sz="4" w:space="0" w:color="000000"/>
              <w:right w:val="single" w:sz="4" w:space="0" w:color="000000"/>
            </w:tcBorders>
            <w:hideMark/>
          </w:tcPr>
          <w:p w:rsidR="002833D1" w:rsidRPr="00246E98" w:rsidRDefault="002833D1" w:rsidP="00760596">
            <w:pPr>
              <w:spacing w:after="0" w:line="240" w:lineRule="auto"/>
              <w:jc w:val="both"/>
              <w:rPr>
                <w:rFonts w:ascii="Times New Roman" w:hAnsi="Times New Roman"/>
                <w:i/>
                <w:color w:val="1D1B11"/>
                <w:lang w:val="ro-RO"/>
              </w:rPr>
            </w:pPr>
            <w:r w:rsidRPr="00246E98">
              <w:rPr>
                <w:rFonts w:ascii="Times New Roman" w:hAnsi="Times New Roman"/>
                <w:i/>
                <w:color w:val="1D1B11"/>
                <w:lang w:val="ro-RO"/>
              </w:rPr>
              <w:t>84680,4</w:t>
            </w:r>
          </w:p>
        </w:tc>
        <w:tc>
          <w:tcPr>
            <w:tcW w:w="1275" w:type="dxa"/>
            <w:tcBorders>
              <w:top w:val="single" w:sz="4" w:space="0" w:color="000000"/>
              <w:left w:val="single" w:sz="4" w:space="0" w:color="000000"/>
              <w:bottom w:val="single" w:sz="4" w:space="0" w:color="000000"/>
              <w:right w:val="single" w:sz="4" w:space="0" w:color="000000"/>
            </w:tcBorders>
            <w:hideMark/>
          </w:tcPr>
          <w:p w:rsidR="002833D1" w:rsidRPr="00246E98" w:rsidRDefault="002833D1" w:rsidP="00760596">
            <w:pPr>
              <w:spacing w:after="0" w:line="240" w:lineRule="auto"/>
              <w:jc w:val="both"/>
              <w:rPr>
                <w:rFonts w:ascii="Times New Roman" w:hAnsi="Times New Roman"/>
                <w:i/>
                <w:color w:val="1D1B11"/>
                <w:lang w:val="ro-RO"/>
              </w:rPr>
            </w:pPr>
            <w:r w:rsidRPr="00246E98">
              <w:rPr>
                <w:rFonts w:ascii="Times New Roman" w:hAnsi="Times New Roman"/>
                <w:i/>
                <w:color w:val="1D1B11"/>
                <w:lang w:val="ro-RO"/>
              </w:rPr>
              <w:t>87384,9</w:t>
            </w:r>
          </w:p>
        </w:tc>
        <w:tc>
          <w:tcPr>
            <w:tcW w:w="1592" w:type="dxa"/>
            <w:tcBorders>
              <w:top w:val="single" w:sz="4" w:space="0" w:color="000000"/>
              <w:left w:val="single" w:sz="4" w:space="0" w:color="000000"/>
              <w:bottom w:val="single" w:sz="4" w:space="0" w:color="000000"/>
              <w:right w:val="single" w:sz="4" w:space="0" w:color="000000"/>
            </w:tcBorders>
          </w:tcPr>
          <w:p w:rsidR="002833D1" w:rsidRPr="00246E98" w:rsidRDefault="002833D1" w:rsidP="00760596">
            <w:pPr>
              <w:spacing w:after="0" w:line="240" w:lineRule="auto"/>
              <w:jc w:val="both"/>
              <w:rPr>
                <w:rFonts w:ascii="Times New Roman" w:hAnsi="Times New Roman"/>
                <w:i/>
                <w:color w:val="1D1B11"/>
                <w:lang w:val="ro-RO"/>
              </w:rPr>
            </w:pPr>
            <w:r w:rsidRPr="00246E98">
              <w:rPr>
                <w:rFonts w:ascii="Times New Roman" w:hAnsi="Times New Roman"/>
                <w:i/>
                <w:color w:val="1D1B11"/>
                <w:lang w:val="ro-RO"/>
              </w:rPr>
              <w:t>101378,0</w:t>
            </w:r>
          </w:p>
        </w:tc>
        <w:tc>
          <w:tcPr>
            <w:tcW w:w="1592" w:type="dxa"/>
            <w:tcBorders>
              <w:top w:val="single" w:sz="4" w:space="0" w:color="000000"/>
              <w:left w:val="single" w:sz="4" w:space="0" w:color="000000"/>
              <w:bottom w:val="single" w:sz="4" w:space="0" w:color="000000"/>
              <w:right w:val="single" w:sz="4" w:space="0" w:color="000000"/>
            </w:tcBorders>
            <w:hideMark/>
          </w:tcPr>
          <w:p w:rsidR="002833D1" w:rsidRPr="00246E98" w:rsidRDefault="002833D1" w:rsidP="002833D1">
            <w:pPr>
              <w:spacing w:after="0" w:line="240" w:lineRule="auto"/>
              <w:jc w:val="both"/>
              <w:rPr>
                <w:rFonts w:ascii="Times New Roman" w:hAnsi="Times New Roman"/>
                <w:i/>
                <w:color w:val="1D1B11"/>
                <w:lang w:val="ro-RO"/>
              </w:rPr>
            </w:pPr>
            <w:r w:rsidRPr="00246E98">
              <w:rPr>
                <w:rFonts w:ascii="Times New Roman" w:hAnsi="Times New Roman"/>
                <w:i/>
                <w:color w:val="1D1B11"/>
                <w:lang w:val="ro-RO"/>
              </w:rPr>
              <w:t>116,0</w:t>
            </w:r>
          </w:p>
        </w:tc>
      </w:tr>
      <w:tr w:rsidR="002833D1" w:rsidRPr="00246E98" w:rsidTr="002833D1">
        <w:tc>
          <w:tcPr>
            <w:tcW w:w="2127" w:type="dxa"/>
            <w:tcBorders>
              <w:top w:val="single" w:sz="4" w:space="0" w:color="000000"/>
              <w:left w:val="single" w:sz="4" w:space="0" w:color="000000"/>
              <w:bottom w:val="single" w:sz="4" w:space="0" w:color="000000"/>
              <w:right w:val="single" w:sz="4" w:space="0" w:color="000000"/>
            </w:tcBorders>
            <w:hideMark/>
          </w:tcPr>
          <w:p w:rsidR="002833D1" w:rsidRPr="00246E98" w:rsidRDefault="002833D1" w:rsidP="00760596">
            <w:pPr>
              <w:spacing w:after="0" w:line="240" w:lineRule="auto"/>
              <w:jc w:val="both"/>
              <w:rPr>
                <w:rFonts w:ascii="Times New Roman" w:hAnsi="Times New Roman"/>
                <w:b/>
                <w:i/>
                <w:color w:val="1D1B11"/>
                <w:lang w:val="ro-RO"/>
              </w:rPr>
            </w:pPr>
            <w:r w:rsidRPr="00246E98">
              <w:rPr>
                <w:rFonts w:ascii="Times New Roman" w:hAnsi="Times New Roman"/>
                <w:b/>
                <w:i/>
                <w:color w:val="1D1B11"/>
                <w:lang w:val="ro-RO"/>
              </w:rPr>
              <w:t>Asigurări sociale, mii lei</w:t>
            </w:r>
          </w:p>
        </w:tc>
        <w:tc>
          <w:tcPr>
            <w:tcW w:w="1134" w:type="dxa"/>
            <w:tcBorders>
              <w:top w:val="single" w:sz="4" w:space="0" w:color="000000"/>
              <w:left w:val="single" w:sz="4" w:space="0" w:color="000000"/>
              <w:bottom w:val="single" w:sz="4" w:space="0" w:color="000000"/>
              <w:right w:val="single" w:sz="4" w:space="0" w:color="000000"/>
            </w:tcBorders>
            <w:hideMark/>
          </w:tcPr>
          <w:p w:rsidR="002833D1" w:rsidRPr="00246E98" w:rsidRDefault="002833D1" w:rsidP="00760596">
            <w:pPr>
              <w:spacing w:after="0" w:line="240" w:lineRule="auto"/>
              <w:jc w:val="both"/>
              <w:rPr>
                <w:rFonts w:ascii="Times New Roman" w:hAnsi="Times New Roman"/>
                <w:b/>
                <w:i/>
                <w:color w:val="1D1B11"/>
                <w:lang w:val="ro-RO"/>
              </w:rPr>
            </w:pPr>
            <w:r w:rsidRPr="00246E98">
              <w:rPr>
                <w:rFonts w:ascii="Times New Roman" w:hAnsi="Times New Roman"/>
                <w:b/>
                <w:i/>
                <w:color w:val="1D1B11"/>
                <w:lang w:val="ro-RO"/>
              </w:rPr>
              <w:t>171245.6</w:t>
            </w:r>
          </w:p>
        </w:tc>
        <w:tc>
          <w:tcPr>
            <w:tcW w:w="1134" w:type="dxa"/>
            <w:tcBorders>
              <w:top w:val="single" w:sz="4" w:space="0" w:color="000000"/>
              <w:left w:val="single" w:sz="4" w:space="0" w:color="000000"/>
              <w:bottom w:val="single" w:sz="4" w:space="0" w:color="000000"/>
              <w:right w:val="single" w:sz="4" w:space="0" w:color="000000"/>
            </w:tcBorders>
            <w:hideMark/>
          </w:tcPr>
          <w:p w:rsidR="002833D1" w:rsidRPr="00246E98" w:rsidRDefault="002833D1" w:rsidP="00760596">
            <w:pPr>
              <w:spacing w:after="0" w:line="240" w:lineRule="auto"/>
              <w:jc w:val="both"/>
              <w:rPr>
                <w:rFonts w:ascii="Times New Roman" w:hAnsi="Times New Roman"/>
                <w:b/>
                <w:i/>
                <w:color w:val="1D1B11"/>
                <w:lang w:val="ro-RO"/>
              </w:rPr>
            </w:pPr>
            <w:r w:rsidRPr="00246E98">
              <w:rPr>
                <w:rFonts w:ascii="Times New Roman" w:hAnsi="Times New Roman"/>
                <w:b/>
                <w:i/>
                <w:color w:val="1D1B11"/>
                <w:lang w:val="ro-RO"/>
              </w:rPr>
              <w:t>179074,6</w:t>
            </w:r>
          </w:p>
        </w:tc>
        <w:tc>
          <w:tcPr>
            <w:tcW w:w="1275" w:type="dxa"/>
            <w:tcBorders>
              <w:top w:val="single" w:sz="4" w:space="0" w:color="000000"/>
              <w:left w:val="single" w:sz="4" w:space="0" w:color="000000"/>
              <w:bottom w:val="single" w:sz="4" w:space="0" w:color="000000"/>
              <w:right w:val="single" w:sz="4" w:space="0" w:color="000000"/>
            </w:tcBorders>
            <w:hideMark/>
          </w:tcPr>
          <w:p w:rsidR="002833D1" w:rsidRPr="00246E98" w:rsidRDefault="002833D1" w:rsidP="00760596">
            <w:pPr>
              <w:spacing w:after="0" w:line="240" w:lineRule="auto"/>
              <w:jc w:val="both"/>
              <w:rPr>
                <w:rFonts w:ascii="Times New Roman" w:hAnsi="Times New Roman"/>
                <w:b/>
                <w:i/>
                <w:color w:val="1D1B11"/>
                <w:lang w:val="ro-RO"/>
              </w:rPr>
            </w:pPr>
            <w:r w:rsidRPr="00246E98">
              <w:rPr>
                <w:rFonts w:ascii="Times New Roman" w:hAnsi="Times New Roman"/>
                <w:b/>
                <w:i/>
                <w:color w:val="1D1B11"/>
                <w:lang w:val="ro-RO"/>
              </w:rPr>
              <w:t>223557</w:t>
            </w:r>
          </w:p>
        </w:tc>
        <w:tc>
          <w:tcPr>
            <w:tcW w:w="1592" w:type="dxa"/>
            <w:tcBorders>
              <w:top w:val="single" w:sz="4" w:space="0" w:color="000000"/>
              <w:left w:val="single" w:sz="4" w:space="0" w:color="000000"/>
              <w:bottom w:val="single" w:sz="4" w:space="0" w:color="000000"/>
              <w:right w:val="single" w:sz="4" w:space="0" w:color="000000"/>
            </w:tcBorders>
          </w:tcPr>
          <w:p w:rsidR="002833D1" w:rsidRPr="00246E98" w:rsidRDefault="002833D1" w:rsidP="00760596">
            <w:pPr>
              <w:spacing w:after="0" w:line="240" w:lineRule="auto"/>
              <w:jc w:val="both"/>
              <w:rPr>
                <w:rFonts w:ascii="Times New Roman" w:hAnsi="Times New Roman"/>
                <w:b/>
                <w:i/>
                <w:color w:val="1D1B11"/>
                <w:lang w:val="ro-RO"/>
              </w:rPr>
            </w:pPr>
            <w:r w:rsidRPr="00246E98">
              <w:rPr>
                <w:rFonts w:ascii="Times New Roman" w:hAnsi="Times New Roman"/>
                <w:b/>
                <w:i/>
                <w:color w:val="1D1B11"/>
                <w:lang w:val="ro-RO"/>
              </w:rPr>
              <w:t>251026,0</w:t>
            </w:r>
          </w:p>
        </w:tc>
        <w:tc>
          <w:tcPr>
            <w:tcW w:w="1592" w:type="dxa"/>
            <w:tcBorders>
              <w:top w:val="single" w:sz="4" w:space="0" w:color="000000"/>
              <w:left w:val="single" w:sz="4" w:space="0" w:color="000000"/>
              <w:bottom w:val="single" w:sz="4" w:space="0" w:color="000000"/>
              <w:right w:val="single" w:sz="4" w:space="0" w:color="000000"/>
            </w:tcBorders>
            <w:hideMark/>
          </w:tcPr>
          <w:p w:rsidR="002833D1" w:rsidRPr="00246E98" w:rsidRDefault="002833D1" w:rsidP="002833D1">
            <w:pPr>
              <w:spacing w:after="0" w:line="240" w:lineRule="auto"/>
              <w:jc w:val="both"/>
              <w:rPr>
                <w:rFonts w:ascii="Times New Roman" w:hAnsi="Times New Roman"/>
                <w:b/>
                <w:i/>
                <w:color w:val="1D1B11"/>
                <w:lang w:val="ro-RO"/>
              </w:rPr>
            </w:pPr>
            <w:r w:rsidRPr="00246E98">
              <w:rPr>
                <w:rFonts w:ascii="Times New Roman" w:hAnsi="Times New Roman"/>
                <w:b/>
                <w:i/>
                <w:color w:val="1D1B11"/>
                <w:lang w:val="ro-RO"/>
              </w:rPr>
              <w:t>112,3</w:t>
            </w:r>
          </w:p>
        </w:tc>
      </w:tr>
      <w:tr w:rsidR="002833D1" w:rsidRPr="00246E98" w:rsidTr="002833D1">
        <w:tc>
          <w:tcPr>
            <w:tcW w:w="2127" w:type="dxa"/>
            <w:tcBorders>
              <w:top w:val="single" w:sz="4" w:space="0" w:color="000000"/>
              <w:left w:val="single" w:sz="4" w:space="0" w:color="000000"/>
              <w:bottom w:val="single" w:sz="4" w:space="0" w:color="000000"/>
              <w:right w:val="single" w:sz="4" w:space="0" w:color="000000"/>
            </w:tcBorders>
            <w:hideMark/>
          </w:tcPr>
          <w:p w:rsidR="002833D1" w:rsidRPr="00246E98" w:rsidRDefault="002833D1" w:rsidP="00760596">
            <w:pPr>
              <w:spacing w:after="0" w:line="240" w:lineRule="auto"/>
              <w:jc w:val="both"/>
              <w:rPr>
                <w:rFonts w:ascii="Times New Roman" w:hAnsi="Times New Roman"/>
                <w:b/>
                <w:i/>
                <w:color w:val="1D1B11"/>
                <w:lang w:val="ro-RO"/>
              </w:rPr>
            </w:pPr>
            <w:r w:rsidRPr="00246E98">
              <w:rPr>
                <w:rFonts w:ascii="Times New Roman" w:hAnsi="Times New Roman"/>
                <w:b/>
                <w:i/>
                <w:color w:val="1D1B11"/>
                <w:lang w:val="ro-RO"/>
              </w:rPr>
              <w:t xml:space="preserve">Asigurări medicale, mii lei </w:t>
            </w:r>
          </w:p>
        </w:tc>
        <w:tc>
          <w:tcPr>
            <w:tcW w:w="1134" w:type="dxa"/>
            <w:tcBorders>
              <w:top w:val="single" w:sz="4" w:space="0" w:color="000000"/>
              <w:left w:val="single" w:sz="4" w:space="0" w:color="000000"/>
              <w:bottom w:val="single" w:sz="4" w:space="0" w:color="000000"/>
              <w:right w:val="single" w:sz="4" w:space="0" w:color="000000"/>
            </w:tcBorders>
            <w:hideMark/>
          </w:tcPr>
          <w:p w:rsidR="002833D1" w:rsidRPr="00246E98" w:rsidRDefault="002833D1" w:rsidP="00760596">
            <w:pPr>
              <w:spacing w:after="0" w:line="240" w:lineRule="auto"/>
              <w:jc w:val="both"/>
              <w:rPr>
                <w:rFonts w:ascii="Times New Roman" w:hAnsi="Times New Roman"/>
                <w:b/>
                <w:i/>
                <w:color w:val="1D1B11"/>
                <w:lang w:val="ro-RO"/>
              </w:rPr>
            </w:pPr>
            <w:r w:rsidRPr="00246E98">
              <w:rPr>
                <w:rFonts w:ascii="Times New Roman" w:hAnsi="Times New Roman"/>
                <w:b/>
                <w:i/>
                <w:color w:val="1D1B11"/>
                <w:lang w:val="ro-RO"/>
              </w:rPr>
              <w:t>53413.7</w:t>
            </w:r>
          </w:p>
        </w:tc>
        <w:tc>
          <w:tcPr>
            <w:tcW w:w="1134" w:type="dxa"/>
            <w:tcBorders>
              <w:top w:val="single" w:sz="4" w:space="0" w:color="000000"/>
              <w:left w:val="single" w:sz="4" w:space="0" w:color="000000"/>
              <w:bottom w:val="single" w:sz="4" w:space="0" w:color="000000"/>
              <w:right w:val="single" w:sz="4" w:space="0" w:color="000000"/>
            </w:tcBorders>
            <w:hideMark/>
          </w:tcPr>
          <w:p w:rsidR="002833D1" w:rsidRPr="00246E98" w:rsidRDefault="002833D1" w:rsidP="00760596">
            <w:pPr>
              <w:spacing w:after="0" w:line="240" w:lineRule="auto"/>
              <w:jc w:val="both"/>
              <w:rPr>
                <w:rFonts w:ascii="Times New Roman" w:hAnsi="Times New Roman"/>
                <w:b/>
                <w:i/>
                <w:color w:val="1D1B11"/>
                <w:lang w:val="ro-RO"/>
              </w:rPr>
            </w:pPr>
            <w:r w:rsidRPr="00246E98">
              <w:rPr>
                <w:rFonts w:ascii="Times New Roman" w:hAnsi="Times New Roman"/>
                <w:b/>
                <w:i/>
                <w:color w:val="1D1B11"/>
                <w:lang w:val="ro-RO"/>
              </w:rPr>
              <w:t>57940,7</w:t>
            </w:r>
          </w:p>
        </w:tc>
        <w:tc>
          <w:tcPr>
            <w:tcW w:w="1275" w:type="dxa"/>
            <w:tcBorders>
              <w:top w:val="single" w:sz="4" w:space="0" w:color="000000"/>
              <w:left w:val="single" w:sz="4" w:space="0" w:color="000000"/>
              <w:bottom w:val="single" w:sz="4" w:space="0" w:color="000000"/>
              <w:right w:val="single" w:sz="4" w:space="0" w:color="000000"/>
            </w:tcBorders>
            <w:hideMark/>
          </w:tcPr>
          <w:p w:rsidR="002833D1" w:rsidRPr="00246E98" w:rsidRDefault="002833D1" w:rsidP="00760596">
            <w:pPr>
              <w:spacing w:after="0" w:line="240" w:lineRule="auto"/>
              <w:jc w:val="both"/>
              <w:rPr>
                <w:rFonts w:ascii="Times New Roman" w:hAnsi="Times New Roman"/>
                <w:b/>
                <w:i/>
                <w:color w:val="1D1B11"/>
                <w:lang w:val="ro-RO"/>
              </w:rPr>
            </w:pPr>
            <w:r w:rsidRPr="00246E98">
              <w:rPr>
                <w:rFonts w:ascii="Times New Roman" w:hAnsi="Times New Roman"/>
                <w:b/>
                <w:i/>
                <w:color w:val="1D1B11"/>
                <w:lang w:val="ro-RO"/>
              </w:rPr>
              <w:t>64063,9</w:t>
            </w:r>
          </w:p>
        </w:tc>
        <w:tc>
          <w:tcPr>
            <w:tcW w:w="1592" w:type="dxa"/>
            <w:tcBorders>
              <w:top w:val="single" w:sz="4" w:space="0" w:color="000000"/>
              <w:left w:val="single" w:sz="4" w:space="0" w:color="000000"/>
              <w:bottom w:val="single" w:sz="4" w:space="0" w:color="000000"/>
              <w:right w:val="single" w:sz="4" w:space="0" w:color="000000"/>
            </w:tcBorders>
          </w:tcPr>
          <w:p w:rsidR="002833D1" w:rsidRPr="00246E98" w:rsidRDefault="002833D1" w:rsidP="00760596">
            <w:pPr>
              <w:spacing w:after="0" w:line="240" w:lineRule="auto"/>
              <w:jc w:val="both"/>
              <w:rPr>
                <w:rFonts w:ascii="Times New Roman" w:hAnsi="Times New Roman"/>
                <w:b/>
                <w:i/>
                <w:color w:val="1D1B11"/>
                <w:lang w:val="ro-RO"/>
              </w:rPr>
            </w:pPr>
            <w:r w:rsidRPr="00246E98">
              <w:rPr>
                <w:rFonts w:ascii="Times New Roman" w:hAnsi="Times New Roman"/>
                <w:b/>
                <w:i/>
                <w:color w:val="1D1B11"/>
                <w:lang w:val="ro-RO"/>
              </w:rPr>
              <w:t>75334,6</w:t>
            </w:r>
          </w:p>
        </w:tc>
        <w:tc>
          <w:tcPr>
            <w:tcW w:w="1592" w:type="dxa"/>
            <w:tcBorders>
              <w:top w:val="single" w:sz="4" w:space="0" w:color="000000"/>
              <w:left w:val="single" w:sz="4" w:space="0" w:color="000000"/>
              <w:bottom w:val="single" w:sz="4" w:space="0" w:color="000000"/>
              <w:right w:val="single" w:sz="4" w:space="0" w:color="000000"/>
            </w:tcBorders>
            <w:hideMark/>
          </w:tcPr>
          <w:p w:rsidR="002833D1" w:rsidRPr="00246E98" w:rsidRDefault="002833D1" w:rsidP="002833D1">
            <w:pPr>
              <w:spacing w:after="0" w:line="240" w:lineRule="auto"/>
              <w:jc w:val="both"/>
              <w:rPr>
                <w:rFonts w:ascii="Times New Roman" w:hAnsi="Times New Roman"/>
                <w:b/>
                <w:i/>
                <w:color w:val="1D1B11"/>
                <w:lang w:val="ro-RO"/>
              </w:rPr>
            </w:pPr>
            <w:r w:rsidRPr="00246E98">
              <w:rPr>
                <w:rFonts w:ascii="Times New Roman" w:hAnsi="Times New Roman"/>
                <w:b/>
                <w:i/>
                <w:color w:val="1D1B11"/>
                <w:lang w:val="ro-RO"/>
              </w:rPr>
              <w:t>117,6</w:t>
            </w:r>
          </w:p>
        </w:tc>
      </w:tr>
    </w:tbl>
    <w:p w:rsidR="00AB7A26" w:rsidRPr="002833D1" w:rsidRDefault="00AB7A26" w:rsidP="00AB7A26">
      <w:pPr>
        <w:spacing w:after="0" w:line="240" w:lineRule="auto"/>
        <w:jc w:val="both"/>
        <w:rPr>
          <w:rFonts w:ascii="Times New Roman" w:hAnsi="Times New Roman"/>
          <w:b/>
          <w:i/>
          <w:color w:val="1D1B11"/>
          <w:sz w:val="20"/>
          <w:szCs w:val="20"/>
          <w:lang w:val="ro-RO"/>
        </w:rPr>
      </w:pPr>
      <w:r w:rsidRPr="002833D1">
        <w:rPr>
          <w:rFonts w:ascii="Times New Roman" w:hAnsi="Times New Roman"/>
          <w:b/>
          <w:i/>
          <w:color w:val="1D1B11"/>
          <w:sz w:val="20"/>
          <w:szCs w:val="20"/>
          <w:lang w:val="ro-RO"/>
        </w:rPr>
        <w:t>Sursa: Direcţia Generală Administrare Fiscală Sud</w:t>
      </w:r>
    </w:p>
    <w:p w:rsidR="00AB7A26" w:rsidRPr="00317E27" w:rsidRDefault="00AB7A26" w:rsidP="00AB7A26">
      <w:pPr>
        <w:spacing w:after="0" w:line="240" w:lineRule="auto"/>
        <w:ind w:firstLine="720"/>
        <w:jc w:val="both"/>
        <w:rPr>
          <w:rFonts w:ascii="Times New Roman" w:hAnsi="Times New Roman"/>
          <w:bCs/>
          <w:color w:val="1D1B11"/>
          <w:sz w:val="24"/>
          <w:szCs w:val="24"/>
          <w:lang w:val="ro-MO"/>
        </w:rPr>
      </w:pPr>
      <w:r w:rsidRPr="00317E27">
        <w:rPr>
          <w:rFonts w:ascii="Times New Roman" w:hAnsi="Times New Roman"/>
          <w:sz w:val="24"/>
          <w:szCs w:val="24"/>
          <w:lang w:val="ro-RO"/>
        </w:rPr>
        <w:t xml:space="preserve">Din datele prezentate putem menţiona că </w:t>
      </w:r>
      <w:r w:rsidRPr="00317E27">
        <w:rPr>
          <w:rFonts w:ascii="Times New Roman" w:hAnsi="Times New Roman"/>
          <w:bCs/>
          <w:color w:val="1D1B11"/>
          <w:sz w:val="24"/>
          <w:szCs w:val="24"/>
          <w:lang w:val="ro-MO"/>
        </w:rPr>
        <w:t>cea mai mare pondere (48,3%) în volumul total al veniturilor  BPN  revine bugetului consolidat, care în perioada  anului 201</w:t>
      </w:r>
      <w:r w:rsidR="002833D1">
        <w:rPr>
          <w:rFonts w:ascii="Times New Roman" w:hAnsi="Times New Roman"/>
          <w:bCs/>
          <w:color w:val="1D1B11"/>
          <w:sz w:val="24"/>
          <w:szCs w:val="24"/>
          <w:lang w:val="ro-MO"/>
        </w:rPr>
        <w:t>8</w:t>
      </w:r>
      <w:r w:rsidRPr="00317E27">
        <w:rPr>
          <w:rFonts w:ascii="Times New Roman" w:hAnsi="Times New Roman"/>
          <w:bCs/>
          <w:color w:val="1D1B11"/>
          <w:sz w:val="24"/>
          <w:szCs w:val="24"/>
          <w:lang w:val="ro-MO"/>
        </w:rPr>
        <w:t xml:space="preserve"> a fost mai înalt  faţă de nivelul înregistrat în perioada anului 201</w:t>
      </w:r>
      <w:r w:rsidR="002833D1">
        <w:rPr>
          <w:rFonts w:ascii="Times New Roman" w:hAnsi="Times New Roman"/>
          <w:bCs/>
          <w:color w:val="1D1B11"/>
          <w:sz w:val="24"/>
          <w:szCs w:val="24"/>
          <w:lang w:val="ro-MO"/>
        </w:rPr>
        <w:t>7</w:t>
      </w:r>
      <w:r w:rsidRPr="00317E27">
        <w:rPr>
          <w:rFonts w:ascii="Times New Roman" w:hAnsi="Times New Roman"/>
          <w:bCs/>
          <w:color w:val="1D1B11"/>
          <w:sz w:val="24"/>
          <w:szCs w:val="24"/>
          <w:lang w:val="ro-MO"/>
        </w:rPr>
        <w:t xml:space="preserve"> cu </w:t>
      </w:r>
      <w:r w:rsidR="002833D1">
        <w:rPr>
          <w:rFonts w:ascii="Times New Roman" w:hAnsi="Times New Roman"/>
          <w:bCs/>
          <w:color w:val="1D1B11"/>
          <w:sz w:val="24"/>
          <w:szCs w:val="24"/>
          <w:lang w:val="ro-MO"/>
        </w:rPr>
        <w:t>2,3</w:t>
      </w:r>
      <w:r w:rsidRPr="00317E27">
        <w:rPr>
          <w:rFonts w:ascii="Times New Roman" w:hAnsi="Times New Roman"/>
          <w:bCs/>
          <w:color w:val="1D1B11"/>
          <w:sz w:val="24"/>
          <w:szCs w:val="24"/>
          <w:lang w:val="ro-MO"/>
        </w:rPr>
        <w:t>% şi a însumat 2</w:t>
      </w:r>
      <w:r w:rsidR="002833D1">
        <w:rPr>
          <w:rFonts w:ascii="Times New Roman" w:hAnsi="Times New Roman"/>
          <w:bCs/>
          <w:color w:val="1D1B11"/>
          <w:sz w:val="24"/>
          <w:szCs w:val="24"/>
          <w:lang w:val="ro-MO"/>
        </w:rPr>
        <w:t>75432,9</w:t>
      </w:r>
      <w:r w:rsidRPr="00317E27">
        <w:rPr>
          <w:rFonts w:ascii="Times New Roman" w:hAnsi="Times New Roman"/>
          <w:bCs/>
          <w:color w:val="1D1B11"/>
          <w:sz w:val="24"/>
          <w:szCs w:val="24"/>
          <w:lang w:val="ro-MO"/>
        </w:rPr>
        <w:t xml:space="preserve"> mii lei.  Veniturile totale  ale asigurărilor sociale  au crescut cu </w:t>
      </w:r>
      <w:r w:rsidR="002833D1">
        <w:rPr>
          <w:rFonts w:ascii="Times New Roman" w:hAnsi="Times New Roman"/>
          <w:bCs/>
          <w:color w:val="1D1B11"/>
          <w:sz w:val="24"/>
          <w:szCs w:val="24"/>
          <w:lang w:val="ro-MO"/>
        </w:rPr>
        <w:t>12,3</w:t>
      </w:r>
      <w:r w:rsidRPr="00317E27">
        <w:rPr>
          <w:rFonts w:ascii="Times New Roman" w:hAnsi="Times New Roman"/>
          <w:bCs/>
          <w:color w:val="1D1B11"/>
          <w:sz w:val="24"/>
          <w:szCs w:val="24"/>
          <w:lang w:val="ro-MO"/>
        </w:rPr>
        <w:t>% față de anul 201</w:t>
      </w:r>
      <w:r w:rsidR="002833D1">
        <w:rPr>
          <w:rFonts w:ascii="Times New Roman" w:hAnsi="Times New Roman"/>
          <w:bCs/>
          <w:color w:val="1D1B11"/>
          <w:sz w:val="24"/>
          <w:szCs w:val="24"/>
          <w:lang w:val="ro-MO"/>
        </w:rPr>
        <w:t>7</w:t>
      </w:r>
      <w:r w:rsidRPr="00317E27">
        <w:rPr>
          <w:rFonts w:ascii="Times New Roman" w:hAnsi="Times New Roman"/>
          <w:bCs/>
          <w:color w:val="1D1B11"/>
          <w:sz w:val="24"/>
          <w:szCs w:val="24"/>
          <w:lang w:val="ro-MO"/>
        </w:rPr>
        <w:t>, ceea ce constituie 2</w:t>
      </w:r>
      <w:r w:rsidR="002833D1">
        <w:rPr>
          <w:rFonts w:ascii="Times New Roman" w:hAnsi="Times New Roman"/>
          <w:bCs/>
          <w:color w:val="1D1B11"/>
          <w:sz w:val="24"/>
          <w:szCs w:val="24"/>
          <w:lang w:val="ro-MO"/>
        </w:rPr>
        <w:t>51026</w:t>
      </w:r>
      <w:r w:rsidRPr="00317E27">
        <w:rPr>
          <w:rFonts w:ascii="Times New Roman" w:hAnsi="Times New Roman"/>
          <w:bCs/>
          <w:color w:val="1D1B11"/>
          <w:sz w:val="24"/>
          <w:szCs w:val="24"/>
          <w:lang w:val="ro-MO"/>
        </w:rPr>
        <w:t xml:space="preserve"> mii lei. La fel au înregistrat o creştere cu 1</w:t>
      </w:r>
      <w:r w:rsidR="002833D1">
        <w:rPr>
          <w:rFonts w:ascii="Times New Roman" w:hAnsi="Times New Roman"/>
          <w:bCs/>
          <w:color w:val="1D1B11"/>
          <w:sz w:val="24"/>
          <w:szCs w:val="24"/>
          <w:lang w:val="ro-MO"/>
        </w:rPr>
        <w:t>7</w:t>
      </w:r>
      <w:r w:rsidRPr="00317E27">
        <w:rPr>
          <w:rFonts w:ascii="Times New Roman" w:hAnsi="Times New Roman"/>
          <w:bCs/>
          <w:color w:val="1D1B11"/>
          <w:sz w:val="24"/>
          <w:szCs w:val="24"/>
          <w:lang w:val="ro-MO"/>
        </w:rPr>
        <w:t>,6%  comparativ cu anul 201</w:t>
      </w:r>
      <w:r w:rsidR="002833D1">
        <w:rPr>
          <w:rFonts w:ascii="Times New Roman" w:hAnsi="Times New Roman"/>
          <w:bCs/>
          <w:color w:val="1D1B11"/>
          <w:sz w:val="24"/>
          <w:szCs w:val="24"/>
          <w:lang w:val="ro-MO"/>
        </w:rPr>
        <w:t>7</w:t>
      </w:r>
      <w:r w:rsidRPr="00317E27">
        <w:rPr>
          <w:rFonts w:ascii="Times New Roman" w:hAnsi="Times New Roman"/>
          <w:bCs/>
          <w:color w:val="1D1B11"/>
          <w:sz w:val="24"/>
          <w:szCs w:val="24"/>
          <w:lang w:val="ro-MO"/>
        </w:rPr>
        <w:t xml:space="preserve"> şi veniturile asigurărilor medicale, constituind </w:t>
      </w:r>
      <w:r w:rsidR="002833D1">
        <w:rPr>
          <w:rFonts w:ascii="Times New Roman" w:hAnsi="Times New Roman"/>
          <w:bCs/>
          <w:color w:val="1D1B11"/>
          <w:sz w:val="24"/>
          <w:szCs w:val="24"/>
          <w:lang w:val="ro-MO"/>
        </w:rPr>
        <w:t>75334,6</w:t>
      </w:r>
      <w:r w:rsidRPr="00317E27">
        <w:rPr>
          <w:rFonts w:ascii="Times New Roman" w:hAnsi="Times New Roman"/>
          <w:bCs/>
          <w:color w:val="1D1B11"/>
          <w:sz w:val="24"/>
          <w:szCs w:val="24"/>
          <w:lang w:val="ro-MO"/>
        </w:rPr>
        <w:t xml:space="preserve"> mii lei.</w:t>
      </w:r>
    </w:p>
    <w:p w:rsidR="00AB7A26" w:rsidRPr="00317E27" w:rsidRDefault="00AB7A26" w:rsidP="00AB7A26">
      <w:pPr>
        <w:spacing w:after="0" w:line="240" w:lineRule="auto"/>
        <w:ind w:firstLine="720"/>
        <w:jc w:val="both"/>
        <w:rPr>
          <w:rFonts w:ascii="Times New Roman" w:hAnsi="Times New Roman"/>
          <w:bCs/>
          <w:color w:val="1D1B11"/>
          <w:sz w:val="24"/>
          <w:szCs w:val="24"/>
          <w:lang w:val="ro-MO"/>
        </w:rPr>
      </w:pPr>
    </w:p>
    <w:p w:rsidR="00436705" w:rsidRPr="00317E27" w:rsidRDefault="00533C71" w:rsidP="00436705">
      <w:pPr>
        <w:pStyle w:val="aa"/>
        <w:spacing w:before="240"/>
        <w:ind w:firstLine="720"/>
        <w:jc w:val="both"/>
        <w:rPr>
          <w:rFonts w:ascii="Times New Roman" w:hAnsi="Times New Roman"/>
          <w:b/>
          <w:sz w:val="24"/>
          <w:szCs w:val="24"/>
          <w:lang w:val="ro-RO"/>
        </w:rPr>
      </w:pPr>
      <w:r>
        <w:rPr>
          <w:rFonts w:ascii="Times New Roman" w:hAnsi="Times New Roman"/>
          <w:b/>
          <w:sz w:val="24"/>
          <w:szCs w:val="24"/>
          <w:lang w:val="ro-RO"/>
        </w:rPr>
        <w:t>Agricultu</w:t>
      </w:r>
      <w:r w:rsidR="00436705" w:rsidRPr="00317E27">
        <w:rPr>
          <w:rFonts w:ascii="Times New Roman" w:hAnsi="Times New Roman"/>
          <w:b/>
          <w:sz w:val="24"/>
          <w:szCs w:val="24"/>
          <w:lang w:val="ro-RO"/>
        </w:rPr>
        <w:t>ra</w:t>
      </w:r>
    </w:p>
    <w:p w:rsidR="00436705" w:rsidRPr="00317E27" w:rsidRDefault="00436705" w:rsidP="00436705">
      <w:pPr>
        <w:shd w:val="clear" w:color="auto" w:fill="FFFFFF"/>
        <w:spacing w:after="0"/>
        <w:jc w:val="both"/>
        <w:rPr>
          <w:rFonts w:ascii="Times New Roman" w:eastAsia="Times New Roman" w:hAnsi="Times New Roman"/>
          <w:bCs/>
          <w:iCs/>
          <w:color w:val="222222"/>
          <w:sz w:val="24"/>
          <w:szCs w:val="24"/>
          <w:lang w:val="ro-RO" w:eastAsia="ru-RU"/>
        </w:rPr>
      </w:pPr>
      <w:r w:rsidRPr="00317E27">
        <w:rPr>
          <w:rFonts w:ascii="Times New Roman" w:eastAsia="Times New Roman" w:hAnsi="Times New Roman"/>
          <w:bCs/>
          <w:iCs/>
          <w:color w:val="222222"/>
          <w:sz w:val="24"/>
          <w:szCs w:val="24"/>
          <w:lang w:val="ro-RO" w:eastAsia="ru-RU"/>
        </w:rPr>
        <w:t xml:space="preserve">În domeniul implementării politicilor dezvoltării setorului agricol a fost   întocmit planul de activitate anual și trimestrial bazat pe șapte obiective, care reprezintă  priorități – cheie și care au fost realizate  pe parcursul anului, din care:  </w:t>
      </w:r>
    </w:p>
    <w:p w:rsidR="00436705" w:rsidRPr="00317E27" w:rsidRDefault="00436705" w:rsidP="00436705">
      <w:pPr>
        <w:tabs>
          <w:tab w:val="center" w:pos="9870"/>
        </w:tabs>
        <w:spacing w:after="0"/>
        <w:ind w:right="141"/>
        <w:jc w:val="both"/>
        <w:rPr>
          <w:rFonts w:ascii="Times New Roman" w:hAnsi="Times New Roman"/>
          <w:sz w:val="24"/>
          <w:szCs w:val="24"/>
          <w:lang w:val="ro-RO"/>
        </w:rPr>
      </w:pPr>
      <w:r w:rsidRPr="00317E27">
        <w:rPr>
          <w:rFonts w:ascii="Times New Roman" w:hAnsi="Times New Roman"/>
          <w:sz w:val="24"/>
          <w:szCs w:val="24"/>
          <w:lang w:val="ro-RO"/>
        </w:rPr>
        <w:t xml:space="preserve">    1.</w:t>
      </w:r>
      <w:r w:rsidRPr="00317E27">
        <w:rPr>
          <w:rFonts w:ascii="Times New Roman" w:hAnsi="Times New Roman"/>
          <w:sz w:val="24"/>
          <w:szCs w:val="24"/>
        </w:rPr>
        <w:t>Promovarea și implementarea politicii agrare în teritoriu,</w:t>
      </w:r>
      <w:r w:rsidRPr="00317E27">
        <w:rPr>
          <w:rFonts w:ascii="Times New Roman" w:hAnsi="Times New Roman"/>
          <w:sz w:val="24"/>
          <w:szCs w:val="24"/>
          <w:lang w:val="ro-RO"/>
        </w:rPr>
        <w:t xml:space="preserve"> organizarea și petrecerea seminarelor de profil, pentru instruirea agenților economici și persoanelor fizice.</w:t>
      </w:r>
    </w:p>
    <w:p w:rsidR="00436705" w:rsidRPr="00317E27" w:rsidRDefault="00436705" w:rsidP="00436705">
      <w:pPr>
        <w:tabs>
          <w:tab w:val="center" w:pos="9870"/>
        </w:tabs>
        <w:spacing w:after="0"/>
        <w:ind w:right="141"/>
        <w:jc w:val="both"/>
        <w:rPr>
          <w:rFonts w:ascii="Times New Roman" w:hAnsi="Times New Roman"/>
          <w:sz w:val="24"/>
          <w:szCs w:val="24"/>
          <w:lang w:val="ro-RO"/>
        </w:rPr>
      </w:pPr>
      <w:r w:rsidRPr="00317E27">
        <w:rPr>
          <w:rFonts w:ascii="Times New Roman" w:hAnsi="Times New Roman"/>
          <w:sz w:val="24"/>
          <w:szCs w:val="24"/>
          <w:lang w:val="ro-RO"/>
        </w:rPr>
        <w:t xml:space="preserve">    2.Acumularea și monitorizarea informației operative din sectorul agrar.</w:t>
      </w:r>
    </w:p>
    <w:p w:rsidR="00436705" w:rsidRPr="00317E27" w:rsidRDefault="00436705" w:rsidP="00436705">
      <w:pPr>
        <w:tabs>
          <w:tab w:val="center" w:pos="9870"/>
        </w:tabs>
        <w:spacing w:after="0"/>
        <w:ind w:right="141"/>
        <w:jc w:val="both"/>
        <w:rPr>
          <w:rFonts w:ascii="Times New Roman" w:hAnsi="Times New Roman"/>
          <w:sz w:val="24"/>
          <w:szCs w:val="24"/>
          <w:lang w:val="ro-RO"/>
        </w:rPr>
      </w:pPr>
      <w:r w:rsidRPr="00317E27">
        <w:rPr>
          <w:rFonts w:ascii="Times New Roman" w:hAnsi="Times New Roman"/>
          <w:sz w:val="24"/>
          <w:szCs w:val="24"/>
          <w:lang w:val="ro-RO"/>
        </w:rPr>
        <w:t xml:space="preserve">    3.Evidența plantării și defrișării plantațiilor multianuale. </w:t>
      </w:r>
    </w:p>
    <w:p w:rsidR="00436705" w:rsidRPr="00317E27" w:rsidRDefault="00436705" w:rsidP="00436705">
      <w:pPr>
        <w:tabs>
          <w:tab w:val="center" w:pos="9870"/>
        </w:tabs>
        <w:spacing w:after="0"/>
        <w:ind w:right="141"/>
        <w:jc w:val="both"/>
        <w:rPr>
          <w:rFonts w:ascii="Times New Roman" w:hAnsi="Times New Roman"/>
          <w:sz w:val="24"/>
          <w:szCs w:val="24"/>
          <w:lang w:val="ro-RO"/>
        </w:rPr>
      </w:pPr>
      <w:r w:rsidRPr="00317E27">
        <w:rPr>
          <w:rFonts w:ascii="Times New Roman" w:hAnsi="Times New Roman"/>
          <w:sz w:val="24"/>
          <w:szCs w:val="24"/>
          <w:lang w:val="ro-RO"/>
        </w:rPr>
        <w:t xml:space="preserve">    4.Monitorizarea și generalizarea totalurilor obținute de producătorii agricoli.</w:t>
      </w:r>
    </w:p>
    <w:p w:rsidR="00436705" w:rsidRPr="00317E27" w:rsidRDefault="002E7482" w:rsidP="00436705">
      <w:pPr>
        <w:tabs>
          <w:tab w:val="center" w:pos="9870"/>
        </w:tabs>
        <w:spacing w:after="0"/>
        <w:jc w:val="both"/>
        <w:rPr>
          <w:rFonts w:ascii="Times New Roman" w:hAnsi="Times New Roman"/>
          <w:sz w:val="24"/>
          <w:szCs w:val="24"/>
          <w:lang w:val="ro-RO"/>
        </w:rPr>
      </w:pPr>
      <w:r>
        <w:rPr>
          <w:rFonts w:ascii="Times New Roman" w:hAnsi="Times New Roman"/>
          <w:sz w:val="24"/>
          <w:szCs w:val="24"/>
          <w:lang w:val="ro-RO"/>
        </w:rPr>
        <w:t xml:space="preserve">    5</w:t>
      </w:r>
      <w:r w:rsidR="00436705" w:rsidRPr="00317E27">
        <w:rPr>
          <w:rFonts w:ascii="Times New Roman" w:hAnsi="Times New Roman"/>
          <w:sz w:val="24"/>
          <w:szCs w:val="24"/>
          <w:lang w:val="ro-RO"/>
        </w:rPr>
        <w:t xml:space="preserve">.Organizarea și petrecerea sărbătorilor profesionale.   </w:t>
      </w:r>
    </w:p>
    <w:p w:rsidR="00BE5826" w:rsidRPr="00B22608" w:rsidRDefault="00BE5826" w:rsidP="00BE5826">
      <w:pPr>
        <w:spacing w:after="0" w:line="240" w:lineRule="auto"/>
        <w:ind w:firstLine="708"/>
        <w:jc w:val="both"/>
        <w:rPr>
          <w:rFonts w:ascii="Times New Roman" w:hAnsi="Times New Roman"/>
          <w:color w:val="000000"/>
          <w:sz w:val="24"/>
          <w:szCs w:val="24"/>
        </w:rPr>
      </w:pPr>
      <w:r w:rsidRPr="00B22608">
        <w:rPr>
          <w:rFonts w:ascii="Times New Roman" w:hAnsi="Times New Roman"/>
          <w:color w:val="000000"/>
          <w:sz w:val="24"/>
          <w:szCs w:val="24"/>
        </w:rPr>
        <w:t xml:space="preserve">Agricultura continuă </w:t>
      </w:r>
      <w:proofErr w:type="gramStart"/>
      <w:r w:rsidRPr="00B22608">
        <w:rPr>
          <w:rFonts w:ascii="Times New Roman" w:hAnsi="Times New Roman"/>
          <w:color w:val="000000"/>
          <w:sz w:val="24"/>
          <w:szCs w:val="24"/>
        </w:rPr>
        <w:t>să</w:t>
      </w:r>
      <w:proofErr w:type="gramEnd"/>
      <w:r w:rsidRPr="00B22608">
        <w:rPr>
          <w:rFonts w:ascii="Times New Roman" w:hAnsi="Times New Roman"/>
          <w:color w:val="000000"/>
          <w:sz w:val="24"/>
          <w:szCs w:val="24"/>
        </w:rPr>
        <w:t xml:space="preserve"> fie un sector foarte important care joacă un rol vital în dezvoltarea social-economică a raionului.  Cu toate că agricultura intensivă a fost totdeauna o parte a dezvoltării istorice a acestui sector, în ultimele decenii ale sec. XX, acest  proces a generat degradarea solului, apelor şi aerului, precum şi a landşaftului şi bio - diversităţii. În perioada de tranziţie, agricultura a trecut printr-o perioadă dificilă, care se caracterizează prin destrămarea relaţiilor economice, simplificarea tehnologiilor şi trecerea la sistemul agricol de subzistenţă. Sistemul agricol reprezintă </w:t>
      </w:r>
      <w:proofErr w:type="gramStart"/>
      <w:r w:rsidRPr="00B22608">
        <w:rPr>
          <w:rFonts w:ascii="Times New Roman" w:hAnsi="Times New Roman"/>
          <w:color w:val="000000"/>
          <w:sz w:val="24"/>
          <w:szCs w:val="24"/>
        </w:rPr>
        <w:t>un</w:t>
      </w:r>
      <w:proofErr w:type="gramEnd"/>
      <w:r w:rsidRPr="00B22608">
        <w:rPr>
          <w:rFonts w:ascii="Times New Roman" w:hAnsi="Times New Roman"/>
          <w:color w:val="000000"/>
          <w:sz w:val="24"/>
          <w:szCs w:val="24"/>
        </w:rPr>
        <w:t xml:space="preserve"> ansamblu de sectoare, tehnologii, maşini şi agregate tehnologice, în care solul este folosit ca principală resursă de producţie pentru culturile agricole, pomicole, viticole, legumicole ca şi pentru creşterea animalelor.</w:t>
      </w:r>
    </w:p>
    <w:p w:rsidR="002E7482" w:rsidRPr="002E7482" w:rsidRDefault="002E7482" w:rsidP="002E7482">
      <w:pPr>
        <w:pStyle w:val="aa"/>
        <w:ind w:firstLine="708"/>
        <w:jc w:val="both"/>
        <w:rPr>
          <w:rFonts w:ascii="Times New Roman" w:hAnsi="Times New Roman"/>
          <w:sz w:val="24"/>
          <w:szCs w:val="24"/>
        </w:rPr>
      </w:pPr>
      <w:r w:rsidRPr="002E7482">
        <w:rPr>
          <w:rFonts w:ascii="Times New Roman" w:hAnsi="Times New Roman"/>
          <w:sz w:val="24"/>
          <w:szCs w:val="24"/>
        </w:rPr>
        <w:t xml:space="preserve">Pentru început aș vrea </w:t>
      </w:r>
      <w:proofErr w:type="gramStart"/>
      <w:r w:rsidRPr="002E7482">
        <w:rPr>
          <w:rFonts w:ascii="Times New Roman" w:hAnsi="Times New Roman"/>
          <w:sz w:val="24"/>
          <w:szCs w:val="24"/>
        </w:rPr>
        <w:t>să</w:t>
      </w:r>
      <w:proofErr w:type="gramEnd"/>
      <w:r w:rsidRPr="002E7482">
        <w:rPr>
          <w:rFonts w:ascii="Times New Roman" w:hAnsi="Times New Roman"/>
          <w:sz w:val="24"/>
          <w:szCs w:val="24"/>
        </w:rPr>
        <w:t xml:space="preserve"> fac o retrospectivă a anului agricol 2018.  Încă de la semănatul culturilor de      I grupă s-au</w:t>
      </w:r>
      <w:r w:rsidRPr="002E7482">
        <w:rPr>
          <w:rFonts w:ascii="Times New Roman" w:hAnsi="Times New Roman"/>
          <w:sz w:val="24"/>
          <w:szCs w:val="24"/>
          <w:lang w:val="ro-RO"/>
        </w:rPr>
        <w:t xml:space="preserve"> creat</w:t>
      </w:r>
      <w:r w:rsidRPr="002E7482">
        <w:rPr>
          <w:rFonts w:ascii="Times New Roman" w:hAnsi="Times New Roman"/>
          <w:sz w:val="24"/>
          <w:szCs w:val="24"/>
        </w:rPr>
        <w:t xml:space="preserve"> mari dificultăți și anume  deficit de umeditate în sol, care a condus la întîrzierea mare a semănatului culturilor de toamnă apoi a urmat o primăvară destul de uscată, acționînd negativ la dezvoltarea tuturor culturilor și în final la o scădere simțitoare a productivității culturilor de cîmp.</w:t>
      </w:r>
    </w:p>
    <w:p w:rsidR="002E7482" w:rsidRPr="00B22608" w:rsidRDefault="002E7482" w:rsidP="002E7482">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În raionul Cahul,</w:t>
      </w:r>
      <w:r w:rsidRPr="00B22608">
        <w:rPr>
          <w:rFonts w:ascii="Times New Roman" w:hAnsi="Times New Roman"/>
          <w:color w:val="000000"/>
          <w:sz w:val="24"/>
          <w:szCs w:val="24"/>
        </w:rPr>
        <w:t xml:space="preserve"> suprafața totală a ter</w:t>
      </w:r>
      <w:r>
        <w:rPr>
          <w:rFonts w:ascii="Times New Roman" w:hAnsi="Times New Roman"/>
          <w:color w:val="000000"/>
          <w:sz w:val="24"/>
          <w:szCs w:val="24"/>
        </w:rPr>
        <w:t>enurilor cu destinație agricolă reprezintă 99</w:t>
      </w:r>
      <w:proofErr w:type="gramStart"/>
      <w:r>
        <w:rPr>
          <w:rFonts w:ascii="Times New Roman" w:hAnsi="Times New Roman"/>
          <w:color w:val="000000"/>
          <w:sz w:val="24"/>
          <w:szCs w:val="24"/>
        </w:rPr>
        <w:t>,1</w:t>
      </w:r>
      <w:proofErr w:type="gramEnd"/>
      <w:r>
        <w:rPr>
          <w:rFonts w:ascii="Times New Roman" w:hAnsi="Times New Roman"/>
          <w:color w:val="000000"/>
          <w:sz w:val="24"/>
          <w:szCs w:val="24"/>
        </w:rPr>
        <w:t xml:space="preserve"> mii hectare, care se divizează în felul următor:</w:t>
      </w:r>
      <w:r w:rsidRPr="00B22608">
        <w:rPr>
          <w:rFonts w:ascii="Times New Roman" w:hAnsi="Times New Roman"/>
          <w:color w:val="000000"/>
          <w:sz w:val="24"/>
          <w:szCs w:val="24"/>
        </w:rPr>
        <w:t xml:space="preserve"> </w:t>
      </w:r>
    </w:p>
    <w:p w:rsidR="002E7482" w:rsidRPr="00B22608" w:rsidRDefault="002E7482" w:rsidP="002E7482">
      <w:pPr>
        <w:spacing w:after="0" w:line="240" w:lineRule="auto"/>
        <w:jc w:val="both"/>
        <w:rPr>
          <w:rFonts w:ascii="Times New Roman" w:hAnsi="Times New Roman"/>
          <w:b/>
          <w:color w:val="000000"/>
          <w:sz w:val="24"/>
          <w:szCs w:val="24"/>
        </w:rPr>
      </w:pPr>
    </w:p>
    <w:p w:rsidR="002E7482" w:rsidRDefault="002E7482" w:rsidP="002E7482">
      <w:pPr>
        <w:spacing w:after="0" w:line="240" w:lineRule="auto"/>
        <w:jc w:val="both"/>
        <w:rPr>
          <w:rFonts w:ascii="Times New Roman" w:hAnsi="Times New Roman"/>
          <w:b/>
          <w:color w:val="000000"/>
          <w:sz w:val="24"/>
          <w:szCs w:val="24"/>
        </w:rPr>
      </w:pPr>
      <w:r w:rsidRPr="00B22608">
        <w:rPr>
          <w:rFonts w:ascii="Times New Roman" w:hAnsi="Times New Roman"/>
          <w:b/>
          <w:color w:val="000000"/>
          <w:sz w:val="24"/>
          <w:szCs w:val="24"/>
        </w:rPr>
        <w:t xml:space="preserve"> </w:t>
      </w:r>
      <w:proofErr w:type="gramStart"/>
      <w:r w:rsidRPr="00B22608">
        <w:rPr>
          <w:rFonts w:ascii="Times New Roman" w:hAnsi="Times New Roman"/>
          <w:b/>
          <w:color w:val="000000"/>
          <w:sz w:val="24"/>
          <w:szCs w:val="24"/>
        </w:rPr>
        <w:t>Figura 1</w:t>
      </w:r>
      <w:r>
        <w:rPr>
          <w:rFonts w:ascii="Times New Roman" w:hAnsi="Times New Roman"/>
          <w:b/>
          <w:color w:val="000000"/>
          <w:sz w:val="24"/>
          <w:szCs w:val="24"/>
        </w:rPr>
        <w:t>.</w:t>
      </w:r>
      <w:proofErr w:type="gramEnd"/>
      <w:r>
        <w:rPr>
          <w:rFonts w:ascii="Times New Roman" w:hAnsi="Times New Roman"/>
          <w:b/>
          <w:color w:val="000000"/>
          <w:sz w:val="24"/>
          <w:szCs w:val="24"/>
        </w:rPr>
        <w:t xml:space="preserve"> </w:t>
      </w:r>
      <w:r w:rsidRPr="00B22608">
        <w:rPr>
          <w:rFonts w:ascii="Times New Roman" w:hAnsi="Times New Roman"/>
          <w:b/>
          <w:color w:val="000000"/>
          <w:sz w:val="24"/>
          <w:szCs w:val="24"/>
        </w:rPr>
        <w:t xml:space="preserve">Structura terenurilor cu destinație </w:t>
      </w:r>
      <w:proofErr w:type="gramStart"/>
      <w:r w:rsidRPr="00B22608">
        <w:rPr>
          <w:rFonts w:ascii="Times New Roman" w:hAnsi="Times New Roman"/>
          <w:b/>
          <w:color w:val="000000"/>
          <w:sz w:val="24"/>
          <w:szCs w:val="24"/>
        </w:rPr>
        <w:t>agricolă</w:t>
      </w:r>
      <w:proofErr w:type="gramEnd"/>
      <w:r w:rsidRPr="00B22608">
        <w:rPr>
          <w:rFonts w:ascii="Times New Roman" w:hAnsi="Times New Roman"/>
          <w:b/>
          <w:color w:val="000000"/>
          <w:sz w:val="24"/>
          <w:szCs w:val="24"/>
        </w:rPr>
        <w:t xml:space="preserve"> a raionului Cahul,   (mii hectare)</w:t>
      </w:r>
    </w:p>
    <w:p w:rsidR="002E7482" w:rsidRDefault="002E7482" w:rsidP="002E7482">
      <w:pPr>
        <w:spacing w:after="0" w:line="240" w:lineRule="auto"/>
        <w:jc w:val="both"/>
        <w:rPr>
          <w:rFonts w:ascii="Times New Roman" w:hAnsi="Times New Roman"/>
          <w:b/>
          <w:color w:val="000000"/>
          <w:sz w:val="24"/>
          <w:szCs w:val="24"/>
        </w:rPr>
      </w:pPr>
    </w:p>
    <w:p w:rsidR="002E7482" w:rsidRPr="00B22608" w:rsidRDefault="002E7482" w:rsidP="002E7482">
      <w:pPr>
        <w:spacing w:after="0" w:line="240" w:lineRule="auto"/>
        <w:jc w:val="both"/>
        <w:rPr>
          <w:rFonts w:ascii="Times New Roman" w:hAnsi="Times New Roman"/>
          <w:b/>
          <w:color w:val="000000"/>
          <w:sz w:val="24"/>
          <w:szCs w:val="24"/>
        </w:rPr>
      </w:pPr>
      <w:r w:rsidRPr="00E91011">
        <w:rPr>
          <w:rFonts w:ascii="Times New Roman" w:hAnsi="Times New Roman"/>
          <w:b/>
          <w:noProof/>
          <w:color w:val="000000"/>
          <w:sz w:val="24"/>
          <w:szCs w:val="24"/>
          <w:lang w:val="ru-RU" w:eastAsia="ru-RU"/>
        </w:rPr>
        <w:drawing>
          <wp:inline distT="0" distB="0" distL="0" distR="0">
            <wp:extent cx="5508440" cy="1569600"/>
            <wp:effectExtent l="19050" t="0" r="16060"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E7482" w:rsidRPr="00B22608" w:rsidRDefault="002E7482" w:rsidP="002E7482">
      <w:pPr>
        <w:spacing w:after="0" w:line="240" w:lineRule="auto"/>
        <w:jc w:val="both"/>
        <w:rPr>
          <w:rFonts w:ascii="Times New Roman" w:hAnsi="Times New Roman"/>
          <w:color w:val="000000"/>
          <w:sz w:val="24"/>
          <w:szCs w:val="24"/>
        </w:rPr>
      </w:pPr>
    </w:p>
    <w:p w:rsidR="002E7482" w:rsidRPr="00B22608" w:rsidRDefault="002E7482" w:rsidP="002E7482">
      <w:pPr>
        <w:pStyle w:val="aa"/>
        <w:ind w:firstLine="720"/>
        <w:jc w:val="both"/>
        <w:rPr>
          <w:rFonts w:ascii="Times New Roman" w:hAnsi="Times New Roman"/>
          <w:color w:val="000000"/>
          <w:sz w:val="24"/>
          <w:szCs w:val="24"/>
        </w:rPr>
      </w:pPr>
      <w:r w:rsidRPr="00B22608">
        <w:rPr>
          <w:rFonts w:ascii="Times New Roman" w:hAnsi="Times New Roman"/>
          <w:color w:val="000000"/>
          <w:sz w:val="24"/>
          <w:szCs w:val="24"/>
        </w:rPr>
        <w:t xml:space="preserve">    Ponderea de bază o constituie terenul arabil cu suprafața de 82</w:t>
      </w:r>
      <w:proofErr w:type="gramStart"/>
      <w:r w:rsidRPr="00B22608">
        <w:rPr>
          <w:rFonts w:ascii="Times New Roman" w:hAnsi="Times New Roman"/>
          <w:color w:val="000000"/>
          <w:sz w:val="24"/>
          <w:szCs w:val="24"/>
        </w:rPr>
        <w:t>,1</w:t>
      </w:r>
      <w:proofErr w:type="gramEnd"/>
      <w:r w:rsidRPr="00B22608">
        <w:rPr>
          <w:rFonts w:ascii="Times New Roman" w:hAnsi="Times New Roman"/>
          <w:color w:val="000000"/>
          <w:sz w:val="24"/>
          <w:szCs w:val="24"/>
        </w:rPr>
        <w:t xml:space="preserve"> mii hectare sau 82,8% din suprafața terenurilor agrico</w:t>
      </w:r>
      <w:r>
        <w:rPr>
          <w:rFonts w:ascii="Times New Roman" w:hAnsi="Times New Roman"/>
          <w:color w:val="000000"/>
          <w:sz w:val="24"/>
          <w:szCs w:val="24"/>
        </w:rPr>
        <w:t>le. Suprafața plantațiilor multi</w:t>
      </w:r>
      <w:r w:rsidRPr="00B22608">
        <w:rPr>
          <w:rFonts w:ascii="Times New Roman" w:hAnsi="Times New Roman"/>
          <w:color w:val="000000"/>
          <w:sz w:val="24"/>
          <w:szCs w:val="24"/>
        </w:rPr>
        <w:t xml:space="preserve">anuale </w:t>
      </w:r>
      <w:r>
        <w:rPr>
          <w:rFonts w:ascii="Times New Roman" w:hAnsi="Times New Roman"/>
          <w:color w:val="000000"/>
          <w:sz w:val="24"/>
          <w:szCs w:val="24"/>
        </w:rPr>
        <w:t>constituie</w:t>
      </w:r>
      <w:r w:rsidRPr="00B22608">
        <w:rPr>
          <w:rFonts w:ascii="Times New Roman" w:hAnsi="Times New Roman"/>
          <w:color w:val="000000"/>
          <w:sz w:val="24"/>
          <w:szCs w:val="24"/>
        </w:rPr>
        <w:t xml:space="preserve"> 15</w:t>
      </w:r>
      <w:proofErr w:type="gramStart"/>
      <w:r w:rsidRPr="00B22608">
        <w:rPr>
          <w:rFonts w:ascii="Times New Roman" w:hAnsi="Times New Roman"/>
          <w:color w:val="000000"/>
          <w:sz w:val="24"/>
          <w:szCs w:val="24"/>
        </w:rPr>
        <w:t>,2</w:t>
      </w:r>
      <w:proofErr w:type="gramEnd"/>
      <w:r w:rsidRPr="00B22608">
        <w:rPr>
          <w:rFonts w:ascii="Times New Roman" w:hAnsi="Times New Roman"/>
          <w:color w:val="000000"/>
          <w:sz w:val="24"/>
          <w:szCs w:val="24"/>
        </w:rPr>
        <w:t xml:space="preserve">  mii hectare sau 15,3 %, inclusiv: plantații viticole 12,8 mii ha. Cu părere de rău mai avem 1</w:t>
      </w:r>
      <w:proofErr w:type="gramStart"/>
      <w:r w:rsidRPr="00B22608">
        <w:rPr>
          <w:rFonts w:ascii="Times New Roman" w:hAnsi="Times New Roman"/>
          <w:color w:val="000000"/>
          <w:sz w:val="24"/>
          <w:szCs w:val="24"/>
        </w:rPr>
        <w:t>,4</w:t>
      </w:r>
      <w:proofErr w:type="gramEnd"/>
      <w:r w:rsidRPr="00B22608">
        <w:rPr>
          <w:rFonts w:ascii="Times New Roman" w:hAnsi="Times New Roman"/>
          <w:color w:val="000000"/>
          <w:sz w:val="24"/>
          <w:szCs w:val="24"/>
        </w:rPr>
        <w:t xml:space="preserve"> mii hectare de pârloagă.  Aceste te</w:t>
      </w:r>
      <w:r>
        <w:rPr>
          <w:rFonts w:ascii="Times New Roman" w:hAnsi="Times New Roman"/>
          <w:color w:val="000000"/>
          <w:sz w:val="24"/>
          <w:szCs w:val="24"/>
        </w:rPr>
        <w:t>renuri în marea majoritate sunt</w:t>
      </w:r>
      <w:r w:rsidRPr="00B22608">
        <w:rPr>
          <w:rFonts w:ascii="Times New Roman" w:hAnsi="Times New Roman"/>
          <w:color w:val="000000"/>
          <w:sz w:val="24"/>
          <w:szCs w:val="24"/>
        </w:rPr>
        <w:t xml:space="preserve"> fostele plantații viticole și pomicole degradate în timp, care până în prezent nu au fost defrișate.  </w:t>
      </w:r>
      <w:proofErr w:type="gramStart"/>
      <w:r w:rsidRPr="00B22608">
        <w:rPr>
          <w:rFonts w:ascii="Times New Roman" w:hAnsi="Times New Roman"/>
          <w:color w:val="000000"/>
          <w:sz w:val="24"/>
          <w:szCs w:val="24"/>
        </w:rPr>
        <w:t>În viitor aceste terenuri se vor micșora considerabil, dat fiind faptul, că în ultimii ani acest sector se subvenționează.</w:t>
      </w:r>
      <w:proofErr w:type="gramEnd"/>
      <w:r w:rsidRPr="00B22608">
        <w:rPr>
          <w:rFonts w:ascii="Times New Roman" w:hAnsi="Times New Roman"/>
          <w:color w:val="000000"/>
          <w:sz w:val="24"/>
          <w:szCs w:val="24"/>
        </w:rPr>
        <w:t xml:space="preserve">       </w:t>
      </w:r>
    </w:p>
    <w:p w:rsidR="002E7482" w:rsidRDefault="002E7482" w:rsidP="002E7482">
      <w:pPr>
        <w:spacing w:after="0" w:line="240" w:lineRule="auto"/>
        <w:jc w:val="both"/>
        <w:rPr>
          <w:rFonts w:ascii="Times New Roman" w:hAnsi="Times New Roman"/>
          <w:b/>
          <w:color w:val="000000"/>
          <w:sz w:val="24"/>
          <w:szCs w:val="24"/>
        </w:rPr>
      </w:pPr>
      <w:r>
        <w:rPr>
          <w:rFonts w:ascii="Times New Roman" w:hAnsi="Times New Roman"/>
          <w:color w:val="000000"/>
          <w:sz w:val="24"/>
          <w:szCs w:val="24"/>
        </w:rPr>
        <w:t xml:space="preserve"> </w:t>
      </w:r>
      <w:r w:rsidRPr="00B22608">
        <w:rPr>
          <w:rFonts w:ascii="Times New Roman" w:hAnsi="Times New Roman"/>
          <w:color w:val="000000"/>
          <w:sz w:val="24"/>
          <w:szCs w:val="24"/>
        </w:rPr>
        <w:t xml:space="preserve"> </w:t>
      </w:r>
      <w:proofErr w:type="gramStart"/>
      <w:r w:rsidRPr="00B22608">
        <w:rPr>
          <w:rFonts w:ascii="Times New Roman" w:hAnsi="Times New Roman"/>
          <w:b/>
          <w:color w:val="000000"/>
          <w:sz w:val="24"/>
          <w:szCs w:val="24"/>
        </w:rPr>
        <w:t xml:space="preserve">Figura </w:t>
      </w:r>
      <w:r>
        <w:rPr>
          <w:rFonts w:ascii="Times New Roman" w:hAnsi="Times New Roman"/>
          <w:b/>
          <w:color w:val="000000"/>
          <w:sz w:val="24"/>
          <w:szCs w:val="24"/>
        </w:rPr>
        <w:t>2</w:t>
      </w:r>
      <w:r w:rsidRPr="00B22608">
        <w:rPr>
          <w:rFonts w:ascii="Times New Roman" w:hAnsi="Times New Roman"/>
          <w:b/>
          <w:color w:val="000000"/>
          <w:sz w:val="24"/>
          <w:szCs w:val="24"/>
        </w:rPr>
        <w:t>.</w:t>
      </w:r>
      <w:proofErr w:type="gramEnd"/>
      <w:r w:rsidRPr="00B22608">
        <w:rPr>
          <w:rFonts w:ascii="Times New Roman" w:hAnsi="Times New Roman"/>
          <w:b/>
          <w:color w:val="000000"/>
          <w:sz w:val="24"/>
          <w:szCs w:val="24"/>
        </w:rPr>
        <w:t xml:space="preserve">  Repartizarea terenurilor agricole </w:t>
      </w:r>
      <w:r>
        <w:rPr>
          <w:rFonts w:ascii="Times New Roman" w:hAnsi="Times New Roman"/>
          <w:b/>
          <w:color w:val="000000"/>
          <w:sz w:val="24"/>
          <w:szCs w:val="24"/>
        </w:rPr>
        <w:t>pe</w:t>
      </w:r>
      <w:r w:rsidRPr="00B22608">
        <w:rPr>
          <w:rFonts w:ascii="Times New Roman" w:hAnsi="Times New Roman"/>
          <w:b/>
          <w:color w:val="000000"/>
          <w:sz w:val="24"/>
          <w:szCs w:val="24"/>
        </w:rPr>
        <w:t xml:space="preserve"> </w:t>
      </w:r>
      <w:proofErr w:type="gramStart"/>
      <w:r w:rsidRPr="00B22608">
        <w:rPr>
          <w:rFonts w:ascii="Times New Roman" w:hAnsi="Times New Roman"/>
          <w:b/>
          <w:color w:val="000000"/>
          <w:sz w:val="24"/>
          <w:szCs w:val="24"/>
        </w:rPr>
        <w:t xml:space="preserve">forme  </w:t>
      </w:r>
      <w:r>
        <w:rPr>
          <w:rFonts w:ascii="Times New Roman" w:hAnsi="Times New Roman"/>
          <w:b/>
          <w:color w:val="000000"/>
          <w:sz w:val="24"/>
          <w:szCs w:val="24"/>
        </w:rPr>
        <w:t>o</w:t>
      </w:r>
      <w:r w:rsidRPr="00B22608">
        <w:rPr>
          <w:rFonts w:ascii="Times New Roman" w:hAnsi="Times New Roman"/>
          <w:b/>
          <w:color w:val="000000"/>
          <w:sz w:val="24"/>
          <w:szCs w:val="24"/>
        </w:rPr>
        <w:t>rganizatorico</w:t>
      </w:r>
      <w:proofErr w:type="gramEnd"/>
      <w:r>
        <w:rPr>
          <w:rFonts w:ascii="Times New Roman" w:hAnsi="Times New Roman"/>
          <w:b/>
          <w:color w:val="000000"/>
          <w:sz w:val="24"/>
          <w:szCs w:val="24"/>
        </w:rPr>
        <w:t>-</w:t>
      </w:r>
      <w:r w:rsidRPr="00B22608">
        <w:rPr>
          <w:rFonts w:ascii="Times New Roman" w:hAnsi="Times New Roman"/>
          <w:b/>
          <w:color w:val="000000"/>
          <w:sz w:val="24"/>
          <w:szCs w:val="24"/>
        </w:rPr>
        <w:t>juridice</w:t>
      </w:r>
      <w:r>
        <w:rPr>
          <w:rFonts w:ascii="Times New Roman" w:hAnsi="Times New Roman"/>
          <w:b/>
          <w:color w:val="000000"/>
          <w:sz w:val="24"/>
          <w:szCs w:val="24"/>
        </w:rPr>
        <w:t xml:space="preserve">, mii ha </w:t>
      </w:r>
    </w:p>
    <w:p w:rsidR="002E7482" w:rsidRDefault="002E7482" w:rsidP="002E7482">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      </w:t>
      </w:r>
    </w:p>
    <w:p w:rsidR="002E7482" w:rsidRDefault="002E7482" w:rsidP="002E7482">
      <w:pPr>
        <w:spacing w:after="0" w:line="240" w:lineRule="auto"/>
        <w:jc w:val="both"/>
        <w:rPr>
          <w:rFonts w:ascii="Times New Roman" w:hAnsi="Times New Roman"/>
          <w:b/>
          <w:color w:val="000000"/>
          <w:sz w:val="24"/>
          <w:szCs w:val="24"/>
        </w:rPr>
      </w:pPr>
      <w:r w:rsidRPr="00E91011">
        <w:rPr>
          <w:rFonts w:ascii="Times New Roman" w:hAnsi="Times New Roman"/>
          <w:b/>
          <w:noProof/>
          <w:color w:val="000000"/>
          <w:sz w:val="24"/>
          <w:szCs w:val="24"/>
          <w:lang w:val="ru-RU" w:eastAsia="ru-RU"/>
        </w:rPr>
        <w:drawing>
          <wp:inline distT="0" distB="0" distL="0" distR="0">
            <wp:extent cx="5981735" cy="2095200"/>
            <wp:effectExtent l="19050" t="0" r="19015" b="30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E7482" w:rsidRDefault="002E7482" w:rsidP="002E7482">
      <w:pPr>
        <w:spacing w:after="0" w:line="240" w:lineRule="auto"/>
        <w:jc w:val="both"/>
        <w:rPr>
          <w:rFonts w:ascii="Times New Roman" w:hAnsi="Times New Roman"/>
          <w:b/>
          <w:color w:val="000000"/>
          <w:sz w:val="24"/>
          <w:szCs w:val="24"/>
        </w:rPr>
      </w:pPr>
    </w:p>
    <w:p w:rsidR="002E7482" w:rsidRPr="00E91011" w:rsidRDefault="002E7482" w:rsidP="002E7482">
      <w:pPr>
        <w:spacing w:after="0" w:line="240" w:lineRule="auto"/>
        <w:jc w:val="both"/>
        <w:rPr>
          <w:rFonts w:ascii="Times New Roman" w:hAnsi="Times New Roman"/>
          <w:b/>
          <w:color w:val="000000"/>
          <w:sz w:val="24"/>
          <w:szCs w:val="24"/>
        </w:rPr>
      </w:pPr>
    </w:p>
    <w:p w:rsidR="002E7482" w:rsidRDefault="002E7482" w:rsidP="002E7482">
      <w:pPr>
        <w:spacing w:line="240" w:lineRule="auto"/>
        <w:ind w:firstLine="708"/>
        <w:jc w:val="both"/>
        <w:rPr>
          <w:rFonts w:ascii="Times New Roman" w:hAnsi="Times New Roman"/>
          <w:color w:val="000000"/>
          <w:sz w:val="24"/>
          <w:szCs w:val="24"/>
        </w:rPr>
      </w:pPr>
      <w:r w:rsidRPr="00B22608">
        <w:rPr>
          <w:rFonts w:ascii="Times New Roman" w:hAnsi="Times New Roman"/>
          <w:color w:val="000000"/>
          <w:sz w:val="24"/>
          <w:szCs w:val="24"/>
        </w:rPr>
        <w:t xml:space="preserve"> </w:t>
      </w:r>
      <w:r>
        <w:rPr>
          <w:rFonts w:ascii="Times New Roman" w:hAnsi="Times New Roman"/>
          <w:color w:val="000000"/>
          <w:sz w:val="24"/>
          <w:szCs w:val="24"/>
        </w:rPr>
        <w:t>Conform fig. 1 și 2 constatăm că t</w:t>
      </w:r>
      <w:r w:rsidRPr="00B22608">
        <w:rPr>
          <w:rFonts w:ascii="Times New Roman" w:hAnsi="Times New Roman"/>
          <w:color w:val="000000"/>
          <w:sz w:val="24"/>
          <w:szCs w:val="24"/>
        </w:rPr>
        <w:t xml:space="preserve">erenurie agricole sunt gestionate de peste 100 întreprinderi agricole din </w:t>
      </w:r>
      <w:r w:rsidRPr="00B22608">
        <w:rPr>
          <w:rFonts w:ascii="Times New Roman" w:hAnsi="Times New Roman"/>
          <w:i/>
          <w:color w:val="000000"/>
          <w:sz w:val="24"/>
          <w:szCs w:val="24"/>
        </w:rPr>
        <w:t>sectorul asociat și 20</w:t>
      </w:r>
      <w:proofErr w:type="gramStart"/>
      <w:r w:rsidRPr="00B22608">
        <w:rPr>
          <w:rFonts w:ascii="Times New Roman" w:hAnsi="Times New Roman"/>
          <w:i/>
          <w:color w:val="000000"/>
          <w:sz w:val="24"/>
          <w:szCs w:val="24"/>
        </w:rPr>
        <w:t>,4</w:t>
      </w:r>
      <w:proofErr w:type="gramEnd"/>
      <w:r w:rsidRPr="00B22608">
        <w:rPr>
          <w:rFonts w:ascii="Times New Roman" w:hAnsi="Times New Roman"/>
          <w:i/>
          <w:color w:val="000000"/>
          <w:sz w:val="24"/>
          <w:szCs w:val="24"/>
        </w:rPr>
        <w:t xml:space="preserve"> mii gospodării țără</w:t>
      </w:r>
      <w:r>
        <w:rPr>
          <w:rFonts w:ascii="Times New Roman" w:hAnsi="Times New Roman"/>
          <w:i/>
          <w:color w:val="000000"/>
          <w:sz w:val="24"/>
          <w:szCs w:val="24"/>
        </w:rPr>
        <w:t xml:space="preserve">nești din sectorul individual. </w:t>
      </w:r>
      <w:r>
        <w:rPr>
          <w:rFonts w:ascii="Times New Roman" w:hAnsi="Times New Roman"/>
          <w:i/>
          <w:color w:val="000000"/>
          <w:sz w:val="24"/>
          <w:szCs w:val="24"/>
          <w:lang w:val="ro-RO"/>
        </w:rPr>
        <w:t>Î</w:t>
      </w:r>
      <w:r w:rsidRPr="00B22608">
        <w:rPr>
          <w:rFonts w:ascii="Times New Roman" w:hAnsi="Times New Roman"/>
          <w:color w:val="000000"/>
          <w:sz w:val="24"/>
          <w:szCs w:val="24"/>
        </w:rPr>
        <w:t>n raion își desfășoară activitea  9 Cooperative Agricole de Producere cu suprafața de 6,9 mii hectare</w:t>
      </w:r>
      <w:r>
        <w:rPr>
          <w:rFonts w:ascii="Times New Roman" w:hAnsi="Times New Roman"/>
          <w:color w:val="000000"/>
          <w:sz w:val="24"/>
          <w:szCs w:val="24"/>
        </w:rPr>
        <w:t>,</w:t>
      </w:r>
      <w:r w:rsidRPr="00B22608">
        <w:rPr>
          <w:rFonts w:ascii="Times New Roman" w:hAnsi="Times New Roman"/>
          <w:color w:val="000000"/>
          <w:sz w:val="24"/>
          <w:szCs w:val="24"/>
        </w:rPr>
        <w:t xml:space="preserve"> 9 Societăți pe Acțiuni ce dețin</w:t>
      </w:r>
      <w:r>
        <w:rPr>
          <w:rFonts w:ascii="Times New Roman" w:hAnsi="Times New Roman"/>
          <w:color w:val="000000"/>
          <w:sz w:val="24"/>
          <w:szCs w:val="24"/>
        </w:rPr>
        <w:t xml:space="preserve"> -</w:t>
      </w:r>
      <w:r w:rsidRPr="00B22608">
        <w:rPr>
          <w:rFonts w:ascii="Times New Roman" w:hAnsi="Times New Roman"/>
          <w:color w:val="000000"/>
          <w:sz w:val="24"/>
          <w:szCs w:val="24"/>
        </w:rPr>
        <w:t xml:space="preserve"> 1,9 mii ha</w:t>
      </w:r>
      <w:r>
        <w:rPr>
          <w:rFonts w:ascii="Times New Roman" w:hAnsi="Times New Roman"/>
          <w:color w:val="000000"/>
          <w:sz w:val="24"/>
          <w:szCs w:val="24"/>
        </w:rPr>
        <w:t xml:space="preserve">, </w:t>
      </w:r>
      <w:r w:rsidRPr="00B22608">
        <w:rPr>
          <w:rFonts w:ascii="Times New Roman" w:hAnsi="Times New Roman"/>
          <w:color w:val="000000"/>
          <w:sz w:val="24"/>
          <w:szCs w:val="24"/>
        </w:rPr>
        <w:t>79 Societăți cu Răspundere Limitată ca</w:t>
      </w:r>
      <w:r>
        <w:rPr>
          <w:rFonts w:ascii="Times New Roman" w:hAnsi="Times New Roman"/>
          <w:color w:val="000000"/>
          <w:sz w:val="24"/>
          <w:szCs w:val="24"/>
        </w:rPr>
        <w:t>re gestionează 44,8 mii hectare,</w:t>
      </w:r>
      <w:r w:rsidRPr="00B22608">
        <w:rPr>
          <w:rFonts w:ascii="Times New Roman" w:hAnsi="Times New Roman"/>
          <w:color w:val="000000"/>
          <w:sz w:val="24"/>
          <w:szCs w:val="24"/>
        </w:rPr>
        <w:t xml:space="preserve"> cele 20,4 mii gospodării țărănești au </w:t>
      </w:r>
      <w:r>
        <w:rPr>
          <w:rFonts w:ascii="Times New Roman" w:hAnsi="Times New Roman"/>
          <w:color w:val="000000"/>
          <w:sz w:val="24"/>
          <w:szCs w:val="24"/>
        </w:rPr>
        <w:t xml:space="preserve">în proprietate 32,8 mii hectare, </w:t>
      </w:r>
      <w:r w:rsidRPr="00B22608">
        <w:rPr>
          <w:rFonts w:ascii="Times New Roman" w:hAnsi="Times New Roman"/>
          <w:color w:val="000000"/>
          <w:sz w:val="24"/>
          <w:szCs w:val="24"/>
        </w:rPr>
        <w:t xml:space="preserve"> 3</w:t>
      </w:r>
      <w:r>
        <w:rPr>
          <w:rFonts w:ascii="Times New Roman" w:hAnsi="Times New Roman"/>
          <w:color w:val="000000"/>
          <w:sz w:val="24"/>
          <w:szCs w:val="24"/>
        </w:rPr>
        <w:t xml:space="preserve"> </w:t>
      </w:r>
      <w:r w:rsidRPr="00B22608">
        <w:rPr>
          <w:rFonts w:ascii="Times New Roman" w:hAnsi="Times New Roman"/>
          <w:color w:val="000000"/>
          <w:sz w:val="24"/>
          <w:szCs w:val="24"/>
        </w:rPr>
        <w:t>Întreprinderi Experimentale de Stat care gestionează</w:t>
      </w:r>
      <w:r>
        <w:rPr>
          <w:rFonts w:ascii="Times New Roman" w:hAnsi="Times New Roman"/>
          <w:color w:val="000000"/>
          <w:sz w:val="24"/>
          <w:szCs w:val="24"/>
        </w:rPr>
        <w:t xml:space="preserve"> - 1,2 mii hectare </w:t>
      </w:r>
      <w:r>
        <w:rPr>
          <w:rFonts w:ascii="Times New Roman" w:hAnsi="Times New Roman"/>
          <w:color w:val="000000"/>
          <w:sz w:val="24"/>
          <w:szCs w:val="24"/>
          <w:lang w:val="ro-RO"/>
        </w:rPr>
        <w:t>și</w:t>
      </w:r>
      <w:r w:rsidRPr="00B22608">
        <w:rPr>
          <w:rFonts w:ascii="Times New Roman" w:hAnsi="Times New Roman"/>
          <w:color w:val="000000"/>
          <w:sz w:val="24"/>
          <w:szCs w:val="24"/>
        </w:rPr>
        <w:t xml:space="preserve"> restul 11,5 mii hectare sunt în posesia persoanelor fizice.</w:t>
      </w:r>
    </w:p>
    <w:p w:rsidR="002E7482" w:rsidRPr="00B22608" w:rsidRDefault="002E7482" w:rsidP="002E7482">
      <w:pPr>
        <w:spacing w:line="240" w:lineRule="auto"/>
        <w:ind w:firstLine="708"/>
        <w:jc w:val="both"/>
        <w:rPr>
          <w:rFonts w:ascii="Times New Roman" w:hAnsi="Times New Roman"/>
          <w:color w:val="000000"/>
          <w:sz w:val="24"/>
          <w:szCs w:val="24"/>
        </w:rPr>
      </w:pPr>
      <w:r w:rsidRPr="00B22608">
        <w:rPr>
          <w:rFonts w:ascii="Times New Roman" w:hAnsi="Times New Roman"/>
          <w:color w:val="000000"/>
          <w:sz w:val="24"/>
          <w:szCs w:val="24"/>
        </w:rPr>
        <w:t>Reeșind din repartizarea terenurilor agricole între diferite forme o</w:t>
      </w:r>
      <w:r>
        <w:rPr>
          <w:rFonts w:ascii="Times New Roman" w:hAnsi="Times New Roman"/>
          <w:color w:val="000000"/>
          <w:sz w:val="24"/>
          <w:szCs w:val="24"/>
        </w:rPr>
        <w:t>rganizatorico-juridice circa 44,</w:t>
      </w:r>
      <w:r w:rsidRPr="00B22608">
        <w:rPr>
          <w:rFonts w:ascii="Times New Roman" w:hAnsi="Times New Roman"/>
          <w:color w:val="000000"/>
          <w:sz w:val="24"/>
          <w:szCs w:val="24"/>
        </w:rPr>
        <w:t xml:space="preserve">7% sunt gestionate de gospodăriile țărănești și persoane fizice, unde peste 90% de terenuri sunt lucrate de gospodăriile cu mărimea mai mică de </w:t>
      </w:r>
      <w:smartTag w:uri="urn:schemas-microsoft-com:office:smarttags" w:element="metricconverter">
        <w:smartTagPr>
          <w:attr w:name="ProductID" w:val="5 ha"/>
        </w:smartTagPr>
        <w:r w:rsidRPr="00B22608">
          <w:rPr>
            <w:rFonts w:ascii="Times New Roman" w:hAnsi="Times New Roman"/>
            <w:color w:val="000000"/>
            <w:sz w:val="24"/>
            <w:szCs w:val="24"/>
          </w:rPr>
          <w:t>5 ha</w:t>
        </w:r>
      </w:smartTag>
      <w:r w:rsidRPr="00B22608">
        <w:rPr>
          <w:rFonts w:ascii="Times New Roman" w:hAnsi="Times New Roman"/>
          <w:color w:val="000000"/>
          <w:sz w:val="24"/>
          <w:szCs w:val="24"/>
        </w:rPr>
        <w:t>, fapt ce nu oferă prea multe oportunităţi pentru dezvoltarea unei agriculturi durabile. Fragmentarea excesivă şi apariţia unor loturi mici de teren, ca urmare a reformei de privatizare, a cauzat o scădere bruscă a productivităţii agricole,  utilizarea tehnologiilor simplificate, bazate pe munca manuală, eşecul de cultivare şi rotaţie a culturilor, degradarea solului şi alte efecte negative asupra sectorului agricol şi a dus la un impact negativ asupra populaţiei rurale.</w:t>
      </w:r>
    </w:p>
    <w:p w:rsidR="002E7482" w:rsidRDefault="002E7482" w:rsidP="002E7482">
      <w:pPr>
        <w:spacing w:after="0" w:line="240" w:lineRule="auto"/>
        <w:jc w:val="both"/>
        <w:rPr>
          <w:rFonts w:ascii="Times New Roman" w:hAnsi="Times New Roman"/>
          <w:sz w:val="24"/>
          <w:szCs w:val="24"/>
        </w:rPr>
      </w:pPr>
      <w:r w:rsidRPr="00B22608">
        <w:rPr>
          <w:rFonts w:ascii="Times New Roman" w:hAnsi="Times New Roman"/>
          <w:sz w:val="24"/>
          <w:szCs w:val="24"/>
        </w:rPr>
        <w:t xml:space="preserve">   </w:t>
      </w:r>
      <w:r>
        <w:rPr>
          <w:rFonts w:ascii="Times New Roman" w:hAnsi="Times New Roman"/>
          <w:sz w:val="24"/>
          <w:szCs w:val="24"/>
        </w:rPr>
        <w:tab/>
      </w:r>
      <w:r w:rsidRPr="00B22608">
        <w:rPr>
          <w:rFonts w:ascii="Times New Roman" w:hAnsi="Times New Roman"/>
          <w:sz w:val="24"/>
          <w:szCs w:val="24"/>
        </w:rPr>
        <w:t xml:space="preserve">  Luând în consideraţie creşterea complexităţii şi incertitudinii sistemelor agricole de mărimi diferite care concurează între ele, este necesar de a forma o viziune modernă privind dezvoltarea agriculturii în raionul Cahul, care prevede în viitor  </w:t>
      </w:r>
      <w:r w:rsidRPr="00B22608">
        <w:rPr>
          <w:rFonts w:ascii="Times New Roman" w:hAnsi="Times New Roman"/>
          <w:color w:val="000000"/>
          <w:sz w:val="24"/>
          <w:szCs w:val="24"/>
        </w:rPr>
        <w:t xml:space="preserve">concentrarea terenurilor agricole în gospodării  mari prin fondarea asociațiilor și a grupurilor de producători agricoli </w:t>
      </w:r>
      <w:r w:rsidRPr="00B22608">
        <w:rPr>
          <w:rFonts w:ascii="Times New Roman" w:hAnsi="Times New Roman"/>
          <w:sz w:val="24"/>
          <w:szCs w:val="24"/>
        </w:rPr>
        <w:t>.</w:t>
      </w:r>
    </w:p>
    <w:p w:rsidR="002E7482" w:rsidRDefault="002E7482" w:rsidP="002E7482">
      <w:pPr>
        <w:spacing w:after="0" w:line="240" w:lineRule="auto"/>
        <w:ind w:firstLine="708"/>
        <w:jc w:val="both"/>
        <w:rPr>
          <w:rFonts w:ascii="Times New Roman" w:hAnsi="Times New Roman"/>
          <w:color w:val="000000"/>
          <w:sz w:val="24"/>
          <w:szCs w:val="24"/>
        </w:rPr>
      </w:pPr>
    </w:p>
    <w:p w:rsidR="002E7482" w:rsidRPr="00317E27" w:rsidRDefault="002E7482" w:rsidP="002E7482">
      <w:pPr>
        <w:pStyle w:val="aa"/>
        <w:ind w:firstLine="720"/>
        <w:jc w:val="both"/>
        <w:rPr>
          <w:rFonts w:ascii="Times New Roman" w:hAnsi="Times New Roman"/>
          <w:sz w:val="24"/>
          <w:szCs w:val="24"/>
          <w:lang w:val="ro-RO"/>
        </w:rPr>
      </w:pPr>
      <w:r>
        <w:rPr>
          <w:rFonts w:ascii="Times New Roman" w:hAnsi="Times New Roman"/>
          <w:sz w:val="24"/>
          <w:szCs w:val="24"/>
          <w:lang w:val="ro-RO"/>
        </w:rPr>
        <w:t>În  anul 2018 p</w:t>
      </w:r>
      <w:r w:rsidRPr="00317E27">
        <w:rPr>
          <w:rFonts w:ascii="Times New Roman" w:hAnsi="Times New Roman"/>
          <w:sz w:val="24"/>
          <w:szCs w:val="24"/>
          <w:lang w:val="ro-RO"/>
        </w:rPr>
        <w:t>roducătorii agricoli din raion</w:t>
      </w:r>
      <w:r>
        <w:rPr>
          <w:rFonts w:ascii="Times New Roman" w:hAnsi="Times New Roman"/>
          <w:sz w:val="24"/>
          <w:szCs w:val="24"/>
          <w:lang w:val="ro-RO"/>
        </w:rPr>
        <w:t xml:space="preserve"> </w:t>
      </w:r>
      <w:r w:rsidRPr="00317E27">
        <w:rPr>
          <w:rFonts w:ascii="Times New Roman" w:hAnsi="Times New Roman"/>
          <w:sz w:val="24"/>
          <w:szCs w:val="24"/>
          <w:lang w:val="ro-RO"/>
        </w:rPr>
        <w:t xml:space="preserve">au semănat culturi agricole pe o suprafață de </w:t>
      </w:r>
      <w:r>
        <w:rPr>
          <w:rFonts w:ascii="Times New Roman" w:hAnsi="Times New Roman"/>
          <w:sz w:val="24"/>
          <w:szCs w:val="24"/>
          <w:lang w:val="ro-RO"/>
        </w:rPr>
        <w:t>70,8</w:t>
      </w:r>
      <w:r w:rsidRPr="00317E27">
        <w:rPr>
          <w:rFonts w:ascii="Times New Roman" w:hAnsi="Times New Roman"/>
          <w:sz w:val="24"/>
          <w:szCs w:val="24"/>
          <w:lang w:val="ro-RO"/>
        </w:rPr>
        <w:t xml:space="preserve"> mii hectare ceea ce constituie o majorare cu </w:t>
      </w:r>
      <w:r>
        <w:rPr>
          <w:rFonts w:ascii="Times New Roman" w:hAnsi="Times New Roman"/>
          <w:sz w:val="24"/>
          <w:szCs w:val="24"/>
          <w:lang w:val="ro-RO"/>
        </w:rPr>
        <w:t>2</w:t>
      </w:r>
      <w:r w:rsidRPr="00317E27">
        <w:rPr>
          <w:rFonts w:ascii="Times New Roman" w:hAnsi="Times New Roman"/>
          <w:sz w:val="24"/>
          <w:szCs w:val="24"/>
          <w:lang w:val="ro-RO"/>
        </w:rPr>
        <w:t>,</w:t>
      </w:r>
      <w:r>
        <w:rPr>
          <w:rFonts w:ascii="Times New Roman" w:hAnsi="Times New Roman"/>
          <w:sz w:val="24"/>
          <w:szCs w:val="24"/>
          <w:lang w:val="ro-RO"/>
        </w:rPr>
        <w:t xml:space="preserve">3 </w:t>
      </w:r>
      <w:r w:rsidRPr="00317E27">
        <w:rPr>
          <w:rFonts w:ascii="Times New Roman" w:hAnsi="Times New Roman"/>
          <w:sz w:val="24"/>
          <w:szCs w:val="24"/>
          <w:lang w:val="ro-RO"/>
        </w:rPr>
        <w:t>mii ha față de anul 201</w:t>
      </w:r>
      <w:r>
        <w:rPr>
          <w:rFonts w:ascii="Times New Roman" w:hAnsi="Times New Roman"/>
          <w:sz w:val="24"/>
          <w:szCs w:val="24"/>
          <w:lang w:val="ro-RO"/>
        </w:rPr>
        <w:t>7</w:t>
      </w:r>
      <w:r w:rsidRPr="00317E27">
        <w:rPr>
          <w:rFonts w:ascii="Times New Roman" w:hAnsi="Times New Roman"/>
          <w:sz w:val="24"/>
          <w:szCs w:val="24"/>
          <w:lang w:val="ro-RO"/>
        </w:rPr>
        <w:t>.</w:t>
      </w:r>
    </w:p>
    <w:p w:rsidR="002E7482" w:rsidRPr="00317E27" w:rsidRDefault="002E7482" w:rsidP="002E7482">
      <w:pPr>
        <w:pStyle w:val="aa"/>
        <w:ind w:firstLine="720"/>
        <w:jc w:val="both"/>
        <w:rPr>
          <w:rFonts w:ascii="Times New Roman" w:hAnsi="Times New Roman"/>
          <w:sz w:val="24"/>
          <w:szCs w:val="24"/>
          <w:lang w:val="ro-RO"/>
        </w:rPr>
      </w:pPr>
      <w:r w:rsidRPr="00317E27">
        <w:rPr>
          <w:rFonts w:ascii="Times New Roman" w:hAnsi="Times New Roman"/>
          <w:sz w:val="24"/>
          <w:szCs w:val="24"/>
          <w:lang w:val="ro-RO"/>
        </w:rPr>
        <w:t>Suprafața cultivată cu culturi cerealiere și leguminoase pentru boabe în anul 201</w:t>
      </w:r>
      <w:r>
        <w:rPr>
          <w:rFonts w:ascii="Times New Roman" w:hAnsi="Times New Roman"/>
          <w:sz w:val="24"/>
          <w:szCs w:val="24"/>
          <w:lang w:val="ro-RO"/>
        </w:rPr>
        <w:t>8</w:t>
      </w:r>
      <w:r w:rsidRPr="00317E27">
        <w:rPr>
          <w:rFonts w:ascii="Times New Roman" w:hAnsi="Times New Roman"/>
          <w:sz w:val="24"/>
          <w:szCs w:val="24"/>
          <w:lang w:val="ro-RO"/>
        </w:rPr>
        <w:t xml:space="preserve"> a constituit </w:t>
      </w:r>
      <w:r>
        <w:rPr>
          <w:rFonts w:ascii="Times New Roman" w:hAnsi="Times New Roman"/>
          <w:sz w:val="24"/>
          <w:szCs w:val="24"/>
          <w:lang w:val="ro-RO"/>
        </w:rPr>
        <w:t>45,3</w:t>
      </w:r>
      <w:r w:rsidRPr="00317E27">
        <w:rPr>
          <w:rFonts w:ascii="Times New Roman" w:hAnsi="Times New Roman"/>
          <w:sz w:val="24"/>
          <w:szCs w:val="24"/>
          <w:lang w:val="ro-RO"/>
        </w:rPr>
        <w:t xml:space="preserve"> m</w:t>
      </w:r>
      <w:r>
        <w:rPr>
          <w:rFonts w:ascii="Times New Roman" w:hAnsi="Times New Roman"/>
          <w:sz w:val="24"/>
          <w:szCs w:val="24"/>
          <w:lang w:val="ro-RO"/>
        </w:rPr>
        <w:t>ii hectare, cu plante uleioase - 36,5</w:t>
      </w:r>
      <w:r w:rsidRPr="00317E27">
        <w:rPr>
          <w:rFonts w:ascii="Times New Roman" w:hAnsi="Times New Roman"/>
          <w:sz w:val="24"/>
          <w:szCs w:val="24"/>
          <w:lang w:val="ro-RO"/>
        </w:rPr>
        <w:t xml:space="preserve"> mii hectar</w:t>
      </w:r>
      <w:r>
        <w:rPr>
          <w:rFonts w:ascii="Times New Roman" w:hAnsi="Times New Roman"/>
          <w:sz w:val="24"/>
          <w:szCs w:val="24"/>
          <w:lang w:val="ro-RO"/>
        </w:rPr>
        <w:t>e; cartofi, legume și pepeni – 155 hectare.</w:t>
      </w:r>
    </w:p>
    <w:p w:rsidR="002E7482" w:rsidRDefault="002E7482" w:rsidP="002E7482">
      <w:pPr>
        <w:pStyle w:val="aa"/>
        <w:ind w:firstLine="720"/>
        <w:jc w:val="both"/>
        <w:rPr>
          <w:rFonts w:ascii="Times New Roman" w:hAnsi="Times New Roman"/>
          <w:color w:val="000000"/>
          <w:sz w:val="24"/>
          <w:szCs w:val="24"/>
        </w:rPr>
      </w:pPr>
      <w:r>
        <w:rPr>
          <w:rFonts w:ascii="Times New Roman" w:hAnsi="Times New Roman"/>
          <w:color w:val="000000"/>
          <w:sz w:val="24"/>
          <w:szCs w:val="24"/>
          <w:lang w:val="ro-RO"/>
        </w:rPr>
        <w:t xml:space="preserve">Din </w:t>
      </w:r>
      <w:r w:rsidRPr="00317E27">
        <w:rPr>
          <w:rFonts w:ascii="Times New Roman" w:hAnsi="Times New Roman"/>
          <w:color w:val="000000"/>
          <w:sz w:val="24"/>
          <w:szCs w:val="24"/>
          <w:lang w:val="ro-RO"/>
        </w:rPr>
        <w:t>analiza efectuată,</w:t>
      </w:r>
      <w:r>
        <w:rPr>
          <w:rFonts w:ascii="Times New Roman" w:hAnsi="Times New Roman"/>
          <w:color w:val="000000"/>
          <w:sz w:val="24"/>
          <w:szCs w:val="24"/>
          <w:lang w:val="ro-RO"/>
        </w:rPr>
        <w:t xml:space="preserve"> </w:t>
      </w:r>
      <w:r w:rsidRPr="00317E27">
        <w:rPr>
          <w:rFonts w:ascii="Times New Roman" w:hAnsi="Times New Roman"/>
          <w:color w:val="000000"/>
          <w:sz w:val="24"/>
          <w:szCs w:val="24"/>
          <w:lang w:val="ro-RO"/>
        </w:rPr>
        <w:t>î</w:t>
      </w:r>
      <w:r w:rsidRPr="00356AA7">
        <w:rPr>
          <w:rFonts w:ascii="Times New Roman" w:hAnsi="Times New Roman"/>
          <w:color w:val="000000"/>
          <w:sz w:val="24"/>
          <w:szCs w:val="24"/>
        </w:rPr>
        <w:t>n ultimii ani, se observă o creștere</w:t>
      </w:r>
      <w:r>
        <w:rPr>
          <w:rFonts w:ascii="Times New Roman" w:hAnsi="Times New Roman"/>
          <w:color w:val="000000"/>
          <w:sz w:val="24"/>
          <w:szCs w:val="24"/>
        </w:rPr>
        <w:t xml:space="preserve"> nesemnificativ</w:t>
      </w:r>
      <w:r>
        <w:rPr>
          <w:rFonts w:ascii="Times New Roman" w:hAnsi="Times New Roman"/>
          <w:color w:val="000000"/>
          <w:sz w:val="24"/>
          <w:szCs w:val="24"/>
          <w:lang w:val="ro-RO"/>
        </w:rPr>
        <w:t xml:space="preserve">ă în comparație cu </w:t>
      </w:r>
      <w:r>
        <w:rPr>
          <w:rFonts w:ascii="Times New Roman" w:hAnsi="Times New Roman"/>
          <w:color w:val="000000"/>
          <w:sz w:val="24"/>
          <w:szCs w:val="24"/>
        </w:rPr>
        <w:t>anul 2017,</w:t>
      </w:r>
      <w:r w:rsidRPr="00356AA7">
        <w:rPr>
          <w:rFonts w:ascii="Times New Roman" w:hAnsi="Times New Roman"/>
          <w:color w:val="000000"/>
          <w:sz w:val="24"/>
          <w:szCs w:val="24"/>
        </w:rPr>
        <w:t xml:space="preserve"> a suprafeței </w:t>
      </w:r>
      <w:r>
        <w:rPr>
          <w:rFonts w:ascii="Times New Roman" w:hAnsi="Times New Roman"/>
          <w:color w:val="000000"/>
          <w:sz w:val="24"/>
          <w:szCs w:val="24"/>
        </w:rPr>
        <w:t>de cereale cu 2,8 mii ha, porumb cu 1,2 mii ha și floarea-soarelui cu 0,6 mii ha</w:t>
      </w:r>
      <w:r w:rsidRPr="00356AA7">
        <w:rPr>
          <w:rFonts w:ascii="Times New Roman" w:hAnsi="Times New Roman"/>
          <w:color w:val="000000"/>
          <w:sz w:val="24"/>
          <w:szCs w:val="24"/>
        </w:rPr>
        <w:t xml:space="preserve">. Motivele de concentrare asupra producției de cereale includ mecanizarea pe scară largă, cerințe de capital relativ reduse, intensitatea muncii limitată, piața de desfacere a </w:t>
      </w:r>
      <w:r w:rsidRPr="00356AA7">
        <w:rPr>
          <w:rFonts w:ascii="Times New Roman" w:hAnsi="Times New Roman"/>
          <w:color w:val="000000"/>
          <w:sz w:val="24"/>
          <w:szCs w:val="24"/>
        </w:rPr>
        <w:lastRenderedPageBreak/>
        <w:t>produselor indicate, existenţa pe teritoriu raionului</w:t>
      </w:r>
      <w:r>
        <w:rPr>
          <w:rFonts w:ascii="Times New Roman" w:hAnsi="Times New Roman"/>
          <w:color w:val="000000"/>
          <w:sz w:val="24"/>
          <w:szCs w:val="24"/>
        </w:rPr>
        <w:t xml:space="preserve"> </w:t>
      </w:r>
      <w:r w:rsidRPr="00356AA7">
        <w:rPr>
          <w:rFonts w:ascii="Times New Roman" w:hAnsi="Times New Roman"/>
          <w:color w:val="000000"/>
          <w:sz w:val="24"/>
          <w:szCs w:val="24"/>
        </w:rPr>
        <w:t>al Terminalului Giurgiulești și oportunități de profit, precum și necesitatea limitată de irigare.</w:t>
      </w:r>
    </w:p>
    <w:p w:rsidR="002E7482" w:rsidRDefault="002E7482" w:rsidP="002E7482">
      <w:pPr>
        <w:pStyle w:val="aa"/>
        <w:ind w:firstLine="720"/>
        <w:jc w:val="center"/>
        <w:rPr>
          <w:rFonts w:ascii="Times New Roman" w:hAnsi="Times New Roman"/>
          <w:b/>
          <w:color w:val="000000"/>
          <w:sz w:val="24"/>
          <w:szCs w:val="24"/>
        </w:rPr>
      </w:pPr>
    </w:p>
    <w:p w:rsidR="002E7482" w:rsidRDefault="002E7482" w:rsidP="002E7482">
      <w:pPr>
        <w:pStyle w:val="aa"/>
        <w:ind w:firstLine="720"/>
        <w:rPr>
          <w:rFonts w:ascii="Times New Roman" w:hAnsi="Times New Roman"/>
          <w:b/>
          <w:color w:val="000000"/>
          <w:sz w:val="24"/>
          <w:szCs w:val="24"/>
        </w:rPr>
      </w:pPr>
      <w:proofErr w:type="gramStart"/>
      <w:r>
        <w:rPr>
          <w:rFonts w:ascii="Times New Roman" w:hAnsi="Times New Roman"/>
          <w:b/>
          <w:color w:val="000000"/>
          <w:sz w:val="24"/>
          <w:szCs w:val="24"/>
        </w:rPr>
        <w:t>Fugura 3.</w:t>
      </w:r>
      <w:proofErr w:type="gramEnd"/>
      <w:r>
        <w:rPr>
          <w:rFonts w:ascii="Times New Roman" w:hAnsi="Times New Roman"/>
          <w:b/>
          <w:color w:val="000000"/>
          <w:sz w:val="24"/>
          <w:szCs w:val="24"/>
        </w:rPr>
        <w:t xml:space="preserve"> </w:t>
      </w:r>
      <w:r w:rsidRPr="00395562">
        <w:rPr>
          <w:rFonts w:ascii="Times New Roman" w:hAnsi="Times New Roman"/>
          <w:b/>
          <w:color w:val="000000"/>
          <w:sz w:val="24"/>
          <w:szCs w:val="24"/>
        </w:rPr>
        <w:t>Evoluția producției obținute la culturile cerealiere și plante uleioase pe raionul Cahul, anii 2016-2018, mii tone</w:t>
      </w:r>
    </w:p>
    <w:p w:rsidR="006B4760" w:rsidRPr="00395562" w:rsidRDefault="006B4760" w:rsidP="002E7482">
      <w:pPr>
        <w:pStyle w:val="aa"/>
        <w:ind w:firstLine="720"/>
        <w:rPr>
          <w:rFonts w:ascii="Times New Roman" w:hAnsi="Times New Roman"/>
          <w:b/>
          <w:color w:val="000000"/>
          <w:sz w:val="24"/>
          <w:szCs w:val="24"/>
        </w:rPr>
      </w:pPr>
    </w:p>
    <w:p w:rsidR="002E7482" w:rsidRDefault="006B4760" w:rsidP="002E7482">
      <w:pPr>
        <w:pStyle w:val="aa"/>
        <w:ind w:firstLine="720"/>
        <w:jc w:val="both"/>
        <w:rPr>
          <w:rFonts w:ascii="Times New Roman" w:hAnsi="Times New Roman"/>
          <w:color w:val="000000"/>
          <w:sz w:val="24"/>
          <w:szCs w:val="24"/>
        </w:rPr>
      </w:pPr>
      <w:r w:rsidRPr="00DA372F">
        <w:rPr>
          <w:noProof/>
          <w:sz w:val="24"/>
          <w:szCs w:val="24"/>
          <w:lang w:val="ru-RU" w:eastAsia="ru-RU"/>
        </w:rPr>
        <w:drawing>
          <wp:inline distT="0" distB="0" distL="0" distR="0">
            <wp:extent cx="5834550" cy="2656800"/>
            <wp:effectExtent l="19050" t="0" r="13800"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E7482" w:rsidRPr="00A70D0B" w:rsidRDefault="002E7482" w:rsidP="002E7482">
      <w:pPr>
        <w:pStyle w:val="aa"/>
        <w:ind w:firstLine="720"/>
        <w:jc w:val="both"/>
        <w:rPr>
          <w:sz w:val="24"/>
          <w:szCs w:val="24"/>
          <w:lang w:val="ro-RO"/>
        </w:rPr>
      </w:pPr>
    </w:p>
    <w:p w:rsidR="002E7482" w:rsidRPr="004C3904" w:rsidRDefault="002E7482" w:rsidP="004C3904">
      <w:pPr>
        <w:pStyle w:val="aa"/>
        <w:jc w:val="both"/>
        <w:rPr>
          <w:rFonts w:ascii="Times New Roman" w:hAnsi="Times New Roman"/>
          <w:sz w:val="24"/>
          <w:szCs w:val="24"/>
          <w:lang w:val="ro-RO"/>
        </w:rPr>
      </w:pPr>
      <w:r>
        <w:rPr>
          <w:lang w:val="ro-RO"/>
        </w:rPr>
        <w:t xml:space="preserve">   </w:t>
      </w:r>
      <w:r w:rsidRPr="004C3904">
        <w:rPr>
          <w:rFonts w:ascii="Times New Roman" w:hAnsi="Times New Roman"/>
          <w:sz w:val="24"/>
          <w:szCs w:val="24"/>
          <w:lang w:val="ro-RO"/>
        </w:rPr>
        <w:t xml:space="preserve">Analiza impactului diferitor tipuri de producție asupra ritmului volumului fizic al producției agricole în anul 2018 (date operative) față de anul 2017 demonstrează o influență negativă mai semnificativă a avut descreșterea producției de cereale (cu 11,7%), floarea-soarelui (cu 3.2%), legume (cu 55%),  și rapiță (cu 35.9%). </w:t>
      </w:r>
    </w:p>
    <w:p w:rsidR="002E7482" w:rsidRDefault="002E7482" w:rsidP="004C3904">
      <w:pPr>
        <w:pStyle w:val="aa"/>
        <w:ind w:firstLine="708"/>
        <w:jc w:val="both"/>
        <w:rPr>
          <w:rFonts w:ascii="Times New Roman" w:hAnsi="Times New Roman"/>
          <w:color w:val="000000"/>
          <w:sz w:val="24"/>
          <w:szCs w:val="24"/>
        </w:rPr>
      </w:pPr>
      <w:r w:rsidRPr="004C3904">
        <w:rPr>
          <w:rFonts w:ascii="Times New Roman" w:hAnsi="Times New Roman"/>
          <w:sz w:val="24"/>
          <w:szCs w:val="24"/>
          <w:lang w:val="ro-RO"/>
        </w:rPr>
        <w:t xml:space="preserve">După cum e reflectat în </w:t>
      </w:r>
      <w:r w:rsidR="006B4760" w:rsidRPr="004C3904">
        <w:rPr>
          <w:rFonts w:ascii="Times New Roman" w:hAnsi="Times New Roman"/>
          <w:sz w:val="24"/>
          <w:szCs w:val="24"/>
          <w:lang w:val="ro-RO"/>
        </w:rPr>
        <w:t>figura</w:t>
      </w:r>
      <w:r w:rsidRPr="004C3904">
        <w:rPr>
          <w:rFonts w:ascii="Times New Roman" w:hAnsi="Times New Roman"/>
          <w:sz w:val="24"/>
          <w:szCs w:val="24"/>
          <w:lang w:val="ro-RO"/>
        </w:rPr>
        <w:t xml:space="preserve"> 3, analiza </w:t>
      </w:r>
      <w:r w:rsidR="008D1C1E">
        <w:rPr>
          <w:rFonts w:ascii="Times New Roman" w:hAnsi="Times New Roman"/>
          <w:sz w:val="24"/>
          <w:szCs w:val="24"/>
          <w:lang w:val="ro-RO"/>
        </w:rPr>
        <w:t xml:space="preserve">producţiei obţinute la culturile cerealiere şi plante uleioase, </w:t>
      </w:r>
      <w:r w:rsidRPr="004C3904">
        <w:rPr>
          <w:rFonts w:ascii="Times New Roman" w:hAnsi="Times New Roman"/>
          <w:sz w:val="24"/>
          <w:szCs w:val="24"/>
          <w:lang w:val="ro-RO"/>
        </w:rPr>
        <w:t xml:space="preserve">în sectorul corporativ și de fermieri, în profil teritorial,  pe anului 2018 comparativ cu nivelul anului 2017 se caracterizează prin majorarea a volumului de porumb boabe cu 4,6 mii tone (s-a recoltat în anul 2018- 72,2 mii toneâ), la restul culturilor roada s-a diminuat, din care: cereale  cu 11,2 mii tone (78 mii tone), floarea- soarelui cu 1,3 mii tone (39 mii tone), legume cu 2,1 mii tone (1,7 mii tone), rapiță de toamnă cu 3,8 mii tone (6,8 mii tone).  </w:t>
      </w:r>
    </w:p>
    <w:p w:rsidR="008D1C1E" w:rsidRDefault="008D1C1E" w:rsidP="004C3904">
      <w:pPr>
        <w:pStyle w:val="aa"/>
        <w:ind w:firstLine="708"/>
        <w:jc w:val="both"/>
        <w:rPr>
          <w:rFonts w:ascii="Times New Roman" w:hAnsi="Times New Roman"/>
          <w:color w:val="000000"/>
          <w:sz w:val="24"/>
          <w:szCs w:val="24"/>
        </w:rPr>
      </w:pPr>
    </w:p>
    <w:p w:rsidR="008D1C1E" w:rsidRDefault="003250F8" w:rsidP="003250F8">
      <w:pPr>
        <w:pStyle w:val="aa"/>
        <w:ind w:firstLine="708"/>
        <w:jc w:val="center"/>
        <w:rPr>
          <w:rFonts w:ascii="Times New Roman" w:hAnsi="Times New Roman"/>
          <w:color w:val="000000"/>
          <w:sz w:val="24"/>
          <w:szCs w:val="24"/>
        </w:rPr>
      </w:pPr>
      <w:proofErr w:type="gramStart"/>
      <w:r>
        <w:rPr>
          <w:rFonts w:ascii="Times New Roman" w:hAnsi="Times New Roman"/>
          <w:b/>
          <w:color w:val="000000"/>
          <w:sz w:val="24"/>
          <w:szCs w:val="24"/>
        </w:rPr>
        <w:t>Figura 4.</w:t>
      </w:r>
      <w:proofErr w:type="gramEnd"/>
      <w:r>
        <w:rPr>
          <w:rFonts w:ascii="Times New Roman" w:hAnsi="Times New Roman"/>
          <w:b/>
          <w:color w:val="000000"/>
          <w:sz w:val="24"/>
          <w:szCs w:val="24"/>
        </w:rPr>
        <w:t xml:space="preserve"> </w:t>
      </w:r>
      <w:r w:rsidRPr="003250F8">
        <w:rPr>
          <w:rFonts w:ascii="Times New Roman" w:hAnsi="Times New Roman"/>
          <w:b/>
          <w:color w:val="000000"/>
          <w:sz w:val="24"/>
          <w:szCs w:val="24"/>
        </w:rPr>
        <w:t xml:space="preserve">Evoluţia productivităţii culturilor </w:t>
      </w:r>
      <w:r w:rsidRPr="003250F8">
        <w:rPr>
          <w:rFonts w:ascii="Times New Roman" w:hAnsi="Times New Roman"/>
          <w:b/>
          <w:sz w:val="24"/>
          <w:szCs w:val="24"/>
          <w:lang w:val="ro-RO"/>
        </w:rPr>
        <w:t xml:space="preserve">cerealiere şi plante uleioase pe raionul </w:t>
      </w:r>
      <w:proofErr w:type="gramStart"/>
      <w:r w:rsidRPr="003250F8">
        <w:rPr>
          <w:rFonts w:ascii="Times New Roman" w:hAnsi="Times New Roman"/>
          <w:b/>
          <w:sz w:val="24"/>
          <w:szCs w:val="24"/>
          <w:lang w:val="ro-RO"/>
        </w:rPr>
        <w:t>Cahul(</w:t>
      </w:r>
      <w:proofErr w:type="gramEnd"/>
      <w:r w:rsidRPr="003250F8">
        <w:rPr>
          <w:rFonts w:ascii="Times New Roman" w:hAnsi="Times New Roman"/>
          <w:b/>
          <w:sz w:val="24"/>
          <w:szCs w:val="24"/>
          <w:lang w:val="ro-RO"/>
        </w:rPr>
        <w:t>anii 2016-2018), tone/ha</w:t>
      </w:r>
    </w:p>
    <w:p w:rsidR="008D1C1E" w:rsidRDefault="008D1C1E" w:rsidP="004C3904">
      <w:pPr>
        <w:pStyle w:val="aa"/>
        <w:ind w:firstLine="708"/>
        <w:jc w:val="both"/>
        <w:rPr>
          <w:rFonts w:ascii="Times New Roman" w:hAnsi="Times New Roman"/>
          <w:color w:val="000000"/>
          <w:sz w:val="24"/>
          <w:szCs w:val="24"/>
        </w:rPr>
      </w:pPr>
      <w:r w:rsidRPr="008D1C1E">
        <w:rPr>
          <w:rFonts w:ascii="Times New Roman" w:hAnsi="Times New Roman"/>
          <w:color w:val="000000"/>
          <w:sz w:val="24"/>
          <w:szCs w:val="24"/>
        </w:rPr>
        <w:drawing>
          <wp:inline distT="0" distB="0" distL="0" distR="0">
            <wp:extent cx="5650740" cy="2337460"/>
            <wp:effectExtent l="19050" t="0" r="26160" b="569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250F8" w:rsidRDefault="003250F8" w:rsidP="003250F8">
      <w:pPr>
        <w:pStyle w:val="aa"/>
        <w:jc w:val="both"/>
        <w:rPr>
          <w:rFonts w:ascii="Times New Roman" w:hAnsi="Times New Roman"/>
          <w:color w:val="000000"/>
          <w:sz w:val="24"/>
          <w:szCs w:val="24"/>
        </w:rPr>
      </w:pPr>
    </w:p>
    <w:p w:rsidR="008D1C1E" w:rsidRDefault="003250F8" w:rsidP="003250F8">
      <w:pPr>
        <w:pStyle w:val="aa"/>
        <w:ind w:firstLine="708"/>
        <w:jc w:val="both"/>
        <w:rPr>
          <w:rFonts w:ascii="Times New Roman" w:hAnsi="Times New Roman"/>
          <w:color w:val="000000"/>
          <w:sz w:val="24"/>
          <w:szCs w:val="24"/>
        </w:rPr>
      </w:pPr>
      <w:r>
        <w:rPr>
          <w:rFonts w:ascii="Times New Roman" w:hAnsi="Times New Roman"/>
          <w:color w:val="000000"/>
          <w:sz w:val="24"/>
          <w:szCs w:val="24"/>
        </w:rPr>
        <w:t xml:space="preserve"> Din diagrama, de mai sus, observăm că productivitatea</w:t>
      </w:r>
      <w:r w:rsidR="008D1C1E">
        <w:rPr>
          <w:rFonts w:ascii="Times New Roman" w:hAnsi="Times New Roman"/>
          <w:color w:val="000000"/>
          <w:sz w:val="24"/>
          <w:szCs w:val="24"/>
        </w:rPr>
        <w:t xml:space="preserve"> a culturilor cerealiere şi a plantelor uleioase </w:t>
      </w:r>
      <w:r>
        <w:rPr>
          <w:rFonts w:ascii="Times New Roman" w:hAnsi="Times New Roman"/>
          <w:color w:val="000000"/>
          <w:sz w:val="24"/>
          <w:szCs w:val="24"/>
        </w:rPr>
        <w:t xml:space="preserve">s-a diminuat în comparaţie cu anul 2017. </w:t>
      </w:r>
      <w:r w:rsidRPr="004C3904">
        <w:rPr>
          <w:rFonts w:ascii="Times New Roman" w:hAnsi="Times New Roman"/>
          <w:sz w:val="24"/>
          <w:szCs w:val="24"/>
          <w:lang w:val="ro-RO"/>
        </w:rPr>
        <w:t>Diminuarea recoltei se explică prin condițiile climaterice neprielinice din zona în care ne aflăm, s</w:t>
      </w:r>
      <w:r w:rsidRPr="004C3904">
        <w:rPr>
          <w:rFonts w:ascii="Times New Roman" w:hAnsi="Times New Roman"/>
          <w:color w:val="000000"/>
          <w:sz w:val="24"/>
          <w:szCs w:val="24"/>
        </w:rPr>
        <w:t xml:space="preserve">eceta din primăvara anului 2018, </w:t>
      </w:r>
      <w:r w:rsidRPr="004C3904">
        <w:rPr>
          <w:rFonts w:ascii="Times New Roman" w:hAnsi="Times New Roman"/>
          <w:color w:val="000000"/>
          <w:sz w:val="24"/>
          <w:szCs w:val="24"/>
        </w:rPr>
        <w:lastRenderedPageBreak/>
        <w:t>care a afectat considerabil toate culturile agricole și a  dus la micșorarea productivității la majoritatea culturilor agricole.</w:t>
      </w:r>
    </w:p>
    <w:p w:rsidR="008D1C1E" w:rsidRPr="004C3904" w:rsidRDefault="008D1C1E" w:rsidP="004C3904">
      <w:pPr>
        <w:pStyle w:val="aa"/>
        <w:ind w:firstLine="708"/>
        <w:jc w:val="both"/>
        <w:rPr>
          <w:rFonts w:ascii="Times New Roman" w:hAnsi="Times New Roman"/>
          <w:color w:val="000000"/>
          <w:sz w:val="24"/>
          <w:szCs w:val="24"/>
        </w:rPr>
      </w:pPr>
    </w:p>
    <w:p w:rsidR="002E7482" w:rsidRPr="004C3904" w:rsidRDefault="002E7482" w:rsidP="004C3904">
      <w:pPr>
        <w:pStyle w:val="aa"/>
        <w:jc w:val="both"/>
        <w:rPr>
          <w:rFonts w:ascii="Times New Roman" w:hAnsi="Times New Roman"/>
          <w:color w:val="000000"/>
          <w:sz w:val="24"/>
          <w:szCs w:val="24"/>
        </w:rPr>
      </w:pPr>
      <w:r w:rsidRPr="004C3904">
        <w:rPr>
          <w:rFonts w:ascii="Times New Roman" w:hAnsi="Times New Roman"/>
          <w:b/>
          <w:color w:val="000000"/>
          <w:sz w:val="24"/>
          <w:szCs w:val="24"/>
        </w:rPr>
        <w:t>Legumicultura</w:t>
      </w:r>
      <w:r w:rsidRPr="004C3904">
        <w:rPr>
          <w:rFonts w:ascii="Times New Roman" w:hAnsi="Times New Roman"/>
          <w:color w:val="000000"/>
          <w:sz w:val="24"/>
          <w:szCs w:val="24"/>
        </w:rPr>
        <w:t xml:space="preserve"> ocupă suprafețe neînsemnate – 154</w:t>
      </w:r>
      <w:proofErr w:type="gramStart"/>
      <w:r w:rsidRPr="004C3904">
        <w:rPr>
          <w:rFonts w:ascii="Times New Roman" w:hAnsi="Times New Roman"/>
          <w:color w:val="000000"/>
          <w:sz w:val="24"/>
          <w:szCs w:val="24"/>
        </w:rPr>
        <w:t>,9</w:t>
      </w:r>
      <w:proofErr w:type="gramEnd"/>
      <w:r w:rsidRPr="004C3904">
        <w:rPr>
          <w:rFonts w:ascii="Times New Roman" w:hAnsi="Times New Roman"/>
          <w:color w:val="000000"/>
          <w:sz w:val="24"/>
          <w:szCs w:val="24"/>
        </w:rPr>
        <w:t xml:space="preserve"> ha</w:t>
      </w:r>
      <w:r w:rsidRPr="004C3904">
        <w:rPr>
          <w:rFonts w:ascii="Times New Roman" w:hAnsi="Times New Roman"/>
          <w:sz w:val="24"/>
          <w:szCs w:val="24"/>
          <w:lang w:val="ro-RO"/>
        </w:rPr>
        <w:t>. S-au produs legume de cîmp 985,5 tone înregistrînd o descreștere cu 5 tone  față de anul 2017.</w:t>
      </w:r>
      <w:r w:rsidRPr="004C3904">
        <w:rPr>
          <w:rFonts w:ascii="Times New Roman" w:hAnsi="Times New Roman"/>
          <w:color w:val="000000"/>
          <w:sz w:val="24"/>
          <w:szCs w:val="24"/>
        </w:rPr>
        <w:t xml:space="preserve"> Motivul principal care a influențat la micșorarea producției legumicole </w:t>
      </w:r>
      <w:proofErr w:type="gramStart"/>
      <w:r w:rsidRPr="004C3904">
        <w:rPr>
          <w:rFonts w:ascii="Times New Roman" w:hAnsi="Times New Roman"/>
          <w:color w:val="000000"/>
          <w:sz w:val="24"/>
          <w:szCs w:val="24"/>
        </w:rPr>
        <w:t>este</w:t>
      </w:r>
      <w:proofErr w:type="gramEnd"/>
      <w:r w:rsidRPr="004C3904">
        <w:rPr>
          <w:rFonts w:ascii="Times New Roman" w:hAnsi="Times New Roman"/>
          <w:color w:val="000000"/>
          <w:sz w:val="24"/>
          <w:szCs w:val="24"/>
        </w:rPr>
        <w:t xml:space="preserve"> lipsa întreprinderilor de procesare a legumelor.  </w:t>
      </w:r>
      <w:r w:rsidRPr="004C3904">
        <w:rPr>
          <w:rFonts w:ascii="Times New Roman" w:hAnsi="Times New Roman"/>
          <w:sz w:val="24"/>
          <w:szCs w:val="24"/>
        </w:rPr>
        <w:t xml:space="preserve">La moment în raion nu avem nici o fabrică de </w:t>
      </w:r>
      <w:proofErr w:type="gramStart"/>
      <w:r w:rsidRPr="004C3904">
        <w:rPr>
          <w:rFonts w:ascii="Times New Roman" w:hAnsi="Times New Roman"/>
          <w:sz w:val="24"/>
          <w:szCs w:val="24"/>
        </w:rPr>
        <w:t>conserve</w:t>
      </w:r>
      <w:proofErr w:type="gramEnd"/>
      <w:r w:rsidRPr="004C3904">
        <w:rPr>
          <w:rFonts w:ascii="Times New Roman" w:hAnsi="Times New Roman"/>
          <w:sz w:val="24"/>
          <w:szCs w:val="24"/>
        </w:rPr>
        <w:t xml:space="preserve">. </w:t>
      </w:r>
      <w:proofErr w:type="gramStart"/>
      <w:r w:rsidRPr="004C3904">
        <w:rPr>
          <w:rFonts w:ascii="Times New Roman" w:hAnsi="Times New Roman"/>
          <w:color w:val="000000"/>
          <w:sz w:val="24"/>
          <w:szCs w:val="24"/>
        </w:rPr>
        <w:t>Acest domeniu se practică doar pentru îndestularea pieței locale.</w:t>
      </w:r>
      <w:proofErr w:type="gramEnd"/>
    </w:p>
    <w:p w:rsidR="002E7482" w:rsidRPr="004C3904" w:rsidRDefault="002E7482" w:rsidP="004C3904">
      <w:pPr>
        <w:pStyle w:val="aa"/>
        <w:ind w:firstLine="708"/>
        <w:jc w:val="both"/>
        <w:rPr>
          <w:rFonts w:ascii="Times New Roman" w:hAnsi="Times New Roman"/>
          <w:sz w:val="24"/>
          <w:szCs w:val="24"/>
        </w:rPr>
      </w:pPr>
      <w:proofErr w:type="gramStart"/>
      <w:r w:rsidRPr="004C3904">
        <w:rPr>
          <w:rFonts w:ascii="Times New Roman" w:hAnsi="Times New Roman"/>
          <w:b/>
          <w:sz w:val="24"/>
          <w:szCs w:val="24"/>
        </w:rPr>
        <w:t>Viticultura</w:t>
      </w:r>
      <w:r w:rsidRPr="004C3904">
        <w:rPr>
          <w:rFonts w:ascii="Times New Roman" w:hAnsi="Times New Roman"/>
          <w:sz w:val="24"/>
          <w:szCs w:val="24"/>
        </w:rPr>
        <w:t xml:space="preserve"> a fost</w:t>
      </w:r>
      <w:r w:rsidR="006B4760" w:rsidRPr="004C3904">
        <w:rPr>
          <w:rFonts w:ascii="Times New Roman" w:hAnsi="Times New Roman"/>
          <w:sz w:val="24"/>
          <w:szCs w:val="24"/>
        </w:rPr>
        <w:t>,</w:t>
      </w:r>
      <w:r w:rsidRPr="004C3904">
        <w:rPr>
          <w:rFonts w:ascii="Times New Roman" w:hAnsi="Times New Roman"/>
          <w:sz w:val="24"/>
          <w:szCs w:val="24"/>
        </w:rPr>
        <w:t xml:space="preserve"> totdeauna</w:t>
      </w:r>
      <w:r w:rsidR="006B4760" w:rsidRPr="004C3904">
        <w:rPr>
          <w:rFonts w:ascii="Times New Roman" w:hAnsi="Times New Roman"/>
          <w:sz w:val="24"/>
          <w:szCs w:val="24"/>
        </w:rPr>
        <w:t>,</w:t>
      </w:r>
      <w:r w:rsidRPr="004C3904">
        <w:rPr>
          <w:rFonts w:ascii="Times New Roman" w:hAnsi="Times New Roman"/>
          <w:sz w:val="24"/>
          <w:szCs w:val="24"/>
        </w:rPr>
        <w:t xml:space="preserve"> o ramură deosebit</w:t>
      </w:r>
      <w:r w:rsidR="006B4760" w:rsidRPr="004C3904">
        <w:rPr>
          <w:rFonts w:ascii="Times New Roman" w:hAnsi="Times New Roman"/>
          <w:sz w:val="24"/>
          <w:szCs w:val="24"/>
        </w:rPr>
        <w:t xml:space="preserve"> </w:t>
      </w:r>
      <w:r w:rsidRPr="004C3904">
        <w:rPr>
          <w:rFonts w:ascii="Times New Roman" w:hAnsi="Times New Roman"/>
          <w:sz w:val="24"/>
          <w:szCs w:val="24"/>
        </w:rPr>
        <w:t>de importantă pentru economia raionului.</w:t>
      </w:r>
      <w:proofErr w:type="gramEnd"/>
      <w:r w:rsidRPr="004C3904">
        <w:rPr>
          <w:rFonts w:ascii="Times New Roman" w:hAnsi="Times New Roman"/>
          <w:sz w:val="24"/>
          <w:szCs w:val="24"/>
        </w:rPr>
        <w:t xml:space="preserve"> </w:t>
      </w:r>
      <w:r w:rsidRPr="004C3904">
        <w:rPr>
          <w:rFonts w:ascii="Times New Roman" w:hAnsi="Times New Roman"/>
          <w:sz w:val="24"/>
          <w:szCs w:val="24"/>
          <w:lang w:val="ro-RO"/>
        </w:rPr>
        <w:t xml:space="preserve">Strugurii  se cultivă pe o suprafață de 11061 hectare, suprafața pe rod constituie 10482 hectare.  </w:t>
      </w:r>
    </w:p>
    <w:p w:rsidR="002E7482" w:rsidRPr="004C3904" w:rsidRDefault="002E7482" w:rsidP="004C3904">
      <w:pPr>
        <w:pStyle w:val="aa"/>
        <w:ind w:firstLine="708"/>
        <w:jc w:val="both"/>
        <w:rPr>
          <w:rFonts w:ascii="Times New Roman" w:hAnsi="Times New Roman"/>
          <w:sz w:val="24"/>
          <w:szCs w:val="24"/>
        </w:rPr>
      </w:pPr>
      <w:r w:rsidRPr="004C3904">
        <w:rPr>
          <w:rFonts w:ascii="Times New Roman" w:hAnsi="Times New Roman"/>
          <w:sz w:val="24"/>
          <w:szCs w:val="24"/>
        </w:rPr>
        <w:t xml:space="preserve">Anual producătorii de struguri produc 50-67 mii tone struguri, dintre care 15 - 21 mii tone </w:t>
      </w:r>
      <w:proofErr w:type="gramStart"/>
      <w:r w:rsidRPr="004C3904">
        <w:rPr>
          <w:rFonts w:ascii="Times New Roman" w:hAnsi="Times New Roman"/>
          <w:sz w:val="24"/>
          <w:szCs w:val="24"/>
        </w:rPr>
        <w:t>soiuri  de</w:t>
      </w:r>
      <w:proofErr w:type="gramEnd"/>
      <w:r w:rsidRPr="004C3904">
        <w:rPr>
          <w:rFonts w:ascii="Times New Roman" w:hAnsi="Times New Roman"/>
          <w:sz w:val="24"/>
          <w:szCs w:val="24"/>
        </w:rPr>
        <w:t xml:space="preserve"> masă.  Suprafața plantațiilor viticole variază și are tendința de o creștere lentă. Așa, în anul 2018 față de 2016 suprafața plantațiilor viticole s-a mărit doar cu 100 hectare, pe cînd cantitatea de  struguri  a crescut cu 13,9 mii tone. </w:t>
      </w:r>
      <w:r w:rsidRPr="004C3904">
        <w:rPr>
          <w:rFonts w:ascii="Times New Roman" w:hAnsi="Times New Roman"/>
          <w:sz w:val="24"/>
          <w:szCs w:val="24"/>
          <w:lang w:val="ro-RO"/>
        </w:rPr>
        <w:t>Recolta de struguri, în anul 2018 a alcătuit 67,8 mii tone sau cu 21 la sută mai mult față de anul precedent.</w:t>
      </w:r>
    </w:p>
    <w:p w:rsidR="002E7482" w:rsidRPr="004C3904" w:rsidRDefault="002E7482" w:rsidP="004C3904">
      <w:pPr>
        <w:pStyle w:val="aa"/>
        <w:ind w:firstLine="708"/>
        <w:jc w:val="both"/>
        <w:rPr>
          <w:rFonts w:ascii="Times New Roman" w:hAnsi="Times New Roman"/>
          <w:sz w:val="24"/>
          <w:szCs w:val="24"/>
        </w:rPr>
      </w:pPr>
      <w:r w:rsidRPr="004C3904">
        <w:rPr>
          <w:rFonts w:ascii="Times New Roman" w:hAnsi="Times New Roman"/>
          <w:sz w:val="24"/>
          <w:szCs w:val="24"/>
        </w:rPr>
        <w:t xml:space="preserve">Rezultatul creșterii productivității plantațiilor viticole se datorește întrării pe rod a plantațiilor noi, care sunt mult mai productive. Însă din cauza condițiilor climaterice nefavorabile pentru producerea strugurilor, cît și lipsa pieței de realizare în anul acesta, recoltarea a decurs o perioadă mai îndelungată. Astfel, o mare cantitate  de struguri de masă și-au  pierdut calitățile vizuale și gustative și nu au fost realizați în stare proaspătă, dar, cu părere de rău, au mers la prelucrarea vinului la un preț foarte mic, aducînd pierderi financiare viticultorilor și supravenituri procesatorilor.   </w:t>
      </w:r>
      <w:proofErr w:type="gramStart"/>
      <w:r w:rsidRPr="004C3904">
        <w:rPr>
          <w:rFonts w:ascii="Times New Roman" w:hAnsi="Times New Roman"/>
          <w:sz w:val="24"/>
          <w:szCs w:val="24"/>
        </w:rPr>
        <w:t>Cea mai mare cantitate a strugurilor a fost destinată pentru procesare.</w:t>
      </w:r>
      <w:proofErr w:type="gramEnd"/>
      <w:r w:rsidRPr="004C3904">
        <w:rPr>
          <w:rFonts w:ascii="Times New Roman" w:hAnsi="Times New Roman"/>
          <w:sz w:val="24"/>
          <w:szCs w:val="24"/>
        </w:rPr>
        <w:t xml:space="preserve"> Circa70% din volumul total de producere a strugurilor a fost direc</w:t>
      </w:r>
      <w:r w:rsidRPr="004C3904">
        <w:rPr>
          <w:rFonts w:ascii="Times New Roman" w:hAnsi="Times New Roman"/>
          <w:sz w:val="24"/>
          <w:szCs w:val="24"/>
          <w:lang w:val="ro-RO"/>
        </w:rPr>
        <w:t xml:space="preserve">ționat </w:t>
      </w:r>
      <w:r w:rsidRPr="004C3904">
        <w:rPr>
          <w:rFonts w:ascii="Times New Roman" w:hAnsi="Times New Roman"/>
          <w:sz w:val="24"/>
          <w:szCs w:val="24"/>
        </w:rPr>
        <w:t>pentru fabricarea vinurilor.</w:t>
      </w:r>
    </w:p>
    <w:p w:rsidR="002E7482" w:rsidRPr="004C3904" w:rsidRDefault="002E7482" w:rsidP="004C3904">
      <w:pPr>
        <w:pStyle w:val="aa"/>
        <w:jc w:val="both"/>
        <w:rPr>
          <w:rFonts w:ascii="Times New Roman" w:hAnsi="Times New Roman"/>
          <w:sz w:val="24"/>
          <w:szCs w:val="24"/>
        </w:rPr>
      </w:pPr>
      <w:r w:rsidRPr="004C3904">
        <w:rPr>
          <w:rFonts w:ascii="Times New Roman" w:hAnsi="Times New Roman"/>
          <w:sz w:val="24"/>
          <w:szCs w:val="24"/>
        </w:rPr>
        <w:t xml:space="preserve">     Pentru prelucrarea strugurilor de soiuri tehnice in raion funcționează 7 </w:t>
      </w:r>
      <w:proofErr w:type="gramStart"/>
      <w:r w:rsidRPr="004C3904">
        <w:rPr>
          <w:rFonts w:ascii="Times New Roman" w:hAnsi="Times New Roman"/>
          <w:sz w:val="24"/>
          <w:szCs w:val="24"/>
        </w:rPr>
        <w:t>întreprinderi  vinicole</w:t>
      </w:r>
      <w:proofErr w:type="gramEnd"/>
      <w:r w:rsidRPr="004C3904">
        <w:rPr>
          <w:rFonts w:ascii="Times New Roman" w:hAnsi="Times New Roman"/>
          <w:sz w:val="24"/>
          <w:szCs w:val="24"/>
        </w:rPr>
        <w:t>:  SA «Cricova» or. Cahul ;  SRL , «Vinia Traian» c. Găvănoasa; SRL «Vierul Vin» c. Burlacu; SA «Vismos” c. Moscovei; ÎM «Grappe Valley» s. Borceag;  SRL «Agrosud Resurse» s. Brânza; SA «Slobozia Mare» s. Slobozia Mare, fiecare din ele având capacitatea de prelucrare anuală de la 5 pînă la 15 mii tone.</w:t>
      </w:r>
    </w:p>
    <w:p w:rsidR="002E7482" w:rsidRPr="004C3904" w:rsidRDefault="002E7482" w:rsidP="004C3904">
      <w:pPr>
        <w:pStyle w:val="aa"/>
        <w:jc w:val="both"/>
        <w:rPr>
          <w:rFonts w:ascii="Times New Roman" w:hAnsi="Times New Roman"/>
          <w:sz w:val="24"/>
          <w:szCs w:val="24"/>
          <w:lang w:val="ro-RO"/>
        </w:rPr>
      </w:pPr>
      <w:r w:rsidRPr="004C3904">
        <w:rPr>
          <w:rFonts w:ascii="Times New Roman" w:hAnsi="Times New Roman"/>
          <w:sz w:val="24"/>
          <w:szCs w:val="24"/>
          <w:lang w:val="ro-RO"/>
        </w:rPr>
        <w:t xml:space="preserve">  Dat fiind faptul</w:t>
      </w:r>
      <w:r w:rsidR="006B4760" w:rsidRPr="004C3904">
        <w:rPr>
          <w:rFonts w:ascii="Times New Roman" w:hAnsi="Times New Roman"/>
          <w:sz w:val="24"/>
          <w:szCs w:val="24"/>
          <w:lang w:val="ro-RO"/>
        </w:rPr>
        <w:t>,</w:t>
      </w:r>
      <w:r w:rsidRPr="004C3904">
        <w:rPr>
          <w:rFonts w:ascii="Times New Roman" w:hAnsi="Times New Roman"/>
          <w:sz w:val="24"/>
          <w:szCs w:val="24"/>
          <w:lang w:val="ro-RO"/>
        </w:rPr>
        <w:t xml:space="preserve"> că din an în an</w:t>
      </w:r>
      <w:r w:rsidR="006B4760" w:rsidRPr="004C3904">
        <w:rPr>
          <w:rFonts w:ascii="Times New Roman" w:hAnsi="Times New Roman"/>
          <w:sz w:val="24"/>
          <w:szCs w:val="24"/>
          <w:lang w:val="ro-RO"/>
        </w:rPr>
        <w:t>,</w:t>
      </w:r>
      <w:r w:rsidRPr="004C3904">
        <w:rPr>
          <w:rFonts w:ascii="Times New Roman" w:hAnsi="Times New Roman"/>
          <w:sz w:val="24"/>
          <w:szCs w:val="24"/>
          <w:lang w:val="ro-RO"/>
        </w:rPr>
        <w:t xml:space="preserve"> o bună parte din suprafețele plantațiilor multianuale vechi degradează și, din punct de vedere economic, exploatarea lor a devenit nerentabilă, specialiștii Direcției agricole anual duc o muncă de lămurire intensă atât pentru producătorii agricoli, cât și pentru specialiștii APL de nivelul I, în vederea folosirii raționale a acestor terenuri și  reîntoarcerea lor în circuitul agricol. </w:t>
      </w:r>
    </w:p>
    <w:p w:rsidR="002E7482" w:rsidRPr="004C3904" w:rsidRDefault="002E7482" w:rsidP="004C3904">
      <w:pPr>
        <w:pStyle w:val="aa"/>
        <w:ind w:firstLine="708"/>
        <w:jc w:val="both"/>
        <w:rPr>
          <w:rFonts w:ascii="Times New Roman" w:hAnsi="Times New Roman"/>
          <w:sz w:val="24"/>
          <w:szCs w:val="24"/>
          <w:lang w:val="ro-RO"/>
        </w:rPr>
      </w:pPr>
      <w:r w:rsidRPr="004C3904">
        <w:rPr>
          <w:rFonts w:ascii="Times New Roman" w:hAnsi="Times New Roman"/>
          <w:sz w:val="24"/>
          <w:szCs w:val="24"/>
          <w:lang w:val="ro-RO"/>
        </w:rPr>
        <w:t>Astfel, producătorii agricoli pe parcursul anului 2018 au întocmit acte de defrișare a plantațiilor multianuale pe o suprafață de 501,4 hectare, inclusiv 429,2 ha plantații viticole și 72,2 ha plantații pomicole, acestea fiind defrișate și trecute în categoria teren arabil. Suma subvențiilor solicitate, de către 112 producători agricoli, pentru efectuarea lucrărilor de  defrișare în anul 2018  a alcătuit  suma de 4557,2 mii lei.</w:t>
      </w:r>
    </w:p>
    <w:p w:rsidR="002E7482" w:rsidRPr="004C3904" w:rsidRDefault="002E7482" w:rsidP="004C3904">
      <w:pPr>
        <w:pStyle w:val="aa"/>
        <w:ind w:firstLine="708"/>
        <w:jc w:val="both"/>
        <w:rPr>
          <w:rFonts w:ascii="Times New Roman" w:hAnsi="Times New Roman"/>
          <w:sz w:val="24"/>
          <w:szCs w:val="24"/>
        </w:rPr>
      </w:pPr>
      <w:r w:rsidRPr="004C3904">
        <w:rPr>
          <w:rFonts w:ascii="Times New Roman" w:hAnsi="Times New Roman"/>
          <w:sz w:val="24"/>
          <w:szCs w:val="24"/>
          <w:lang w:val="ro-RO"/>
        </w:rPr>
        <w:t>Pentru îmbunătățirea sortimentului de struguri</w:t>
      </w:r>
      <w:r w:rsidR="006B4760" w:rsidRPr="004C3904">
        <w:rPr>
          <w:rFonts w:ascii="Times New Roman" w:hAnsi="Times New Roman"/>
          <w:sz w:val="24"/>
          <w:szCs w:val="24"/>
          <w:lang w:val="ro-RO"/>
        </w:rPr>
        <w:t>,</w:t>
      </w:r>
      <w:r w:rsidRPr="004C3904">
        <w:rPr>
          <w:rFonts w:ascii="Times New Roman" w:hAnsi="Times New Roman"/>
          <w:sz w:val="24"/>
          <w:szCs w:val="24"/>
          <w:lang w:val="ro-RO"/>
        </w:rPr>
        <w:t xml:space="preserve"> în anul 2018</w:t>
      </w:r>
      <w:r w:rsidR="006B4760" w:rsidRPr="004C3904">
        <w:rPr>
          <w:rFonts w:ascii="Times New Roman" w:hAnsi="Times New Roman"/>
          <w:sz w:val="24"/>
          <w:szCs w:val="24"/>
          <w:lang w:val="ro-RO"/>
        </w:rPr>
        <w:t>,</w:t>
      </w:r>
      <w:r w:rsidRPr="004C3904">
        <w:rPr>
          <w:rFonts w:ascii="Times New Roman" w:hAnsi="Times New Roman"/>
          <w:sz w:val="24"/>
          <w:szCs w:val="24"/>
          <w:lang w:val="ro-RO"/>
        </w:rPr>
        <w:t xml:space="preserve"> au fost înființate plantații viticole moderne pe o suprafață de 189,1 h</w:t>
      </w:r>
      <w:r w:rsidR="004C3904">
        <w:rPr>
          <w:rFonts w:ascii="Times New Roman" w:hAnsi="Times New Roman"/>
          <w:sz w:val="24"/>
          <w:szCs w:val="24"/>
          <w:lang w:val="ro-RO"/>
        </w:rPr>
        <w:t>a</w:t>
      </w:r>
      <w:r w:rsidRPr="004C3904">
        <w:rPr>
          <w:rFonts w:ascii="Times New Roman" w:hAnsi="Times New Roman"/>
          <w:sz w:val="24"/>
          <w:szCs w:val="24"/>
          <w:lang w:val="ro-RO"/>
        </w:rPr>
        <w:t>, din care soiurile de masă pe o suprafața de 73,7</w:t>
      </w:r>
      <w:r w:rsidR="004C3904">
        <w:rPr>
          <w:rFonts w:ascii="Times New Roman" w:hAnsi="Times New Roman"/>
          <w:sz w:val="24"/>
          <w:szCs w:val="24"/>
          <w:lang w:val="ro-RO"/>
        </w:rPr>
        <w:t>ha.</w:t>
      </w:r>
    </w:p>
    <w:p w:rsidR="002E7482" w:rsidRPr="004C3904" w:rsidRDefault="002E7482" w:rsidP="004C3904">
      <w:pPr>
        <w:pStyle w:val="aa"/>
        <w:ind w:firstLine="708"/>
        <w:jc w:val="both"/>
        <w:rPr>
          <w:rFonts w:ascii="Times New Roman" w:hAnsi="Times New Roman"/>
          <w:sz w:val="24"/>
          <w:szCs w:val="24"/>
          <w:lang w:val="ro-RO"/>
        </w:rPr>
      </w:pPr>
      <w:r w:rsidRPr="004C3904">
        <w:rPr>
          <w:rFonts w:ascii="Times New Roman" w:hAnsi="Times New Roman"/>
          <w:sz w:val="24"/>
          <w:szCs w:val="24"/>
          <w:lang w:val="ro-RO"/>
        </w:rPr>
        <w:t>În anul 2018 au fost recoltate 4218,6 tone de fructe ceea ce constituie o majorare  cu 887,7 tone față de anul precedent, datorită  creșterii productivității, în comparație cu anul 2017,  la culturile de  meri cu 573 tone, caiși cu 62 tone, prun cu 37 tone.</w:t>
      </w:r>
    </w:p>
    <w:p w:rsidR="002E7482" w:rsidRPr="004C3904" w:rsidRDefault="002E7482" w:rsidP="004C3904">
      <w:pPr>
        <w:pStyle w:val="aa"/>
        <w:ind w:firstLine="708"/>
        <w:jc w:val="both"/>
        <w:rPr>
          <w:rFonts w:ascii="Times New Roman" w:hAnsi="Times New Roman"/>
          <w:sz w:val="24"/>
          <w:szCs w:val="24"/>
          <w:lang w:val="ro-RO"/>
        </w:rPr>
      </w:pPr>
      <w:r w:rsidRPr="004C3904">
        <w:rPr>
          <w:rFonts w:ascii="Times New Roman" w:hAnsi="Times New Roman"/>
          <w:sz w:val="24"/>
          <w:szCs w:val="24"/>
          <w:lang w:val="ro-RO"/>
        </w:rPr>
        <w:t>În perioada anului 2018 au fost plantate circa 53,8 hectare de livezi, inclusiv  sămânțoase -  1,8 ha, sâmburoase – 19,5 ha,  nucifere – 32,5 ha.</w:t>
      </w:r>
    </w:p>
    <w:p w:rsidR="00821DE1" w:rsidRPr="004C3904" w:rsidRDefault="00436705" w:rsidP="004C3904">
      <w:pPr>
        <w:pStyle w:val="aa"/>
        <w:ind w:firstLine="708"/>
        <w:jc w:val="both"/>
        <w:rPr>
          <w:rFonts w:ascii="Times New Roman" w:hAnsi="Times New Roman"/>
          <w:sz w:val="24"/>
          <w:szCs w:val="24"/>
        </w:rPr>
      </w:pPr>
      <w:r w:rsidRPr="004C3904">
        <w:rPr>
          <w:rFonts w:ascii="Times New Roman" w:hAnsi="Times New Roman"/>
          <w:sz w:val="24"/>
          <w:szCs w:val="24"/>
        </w:rPr>
        <w:t xml:space="preserve">Pentru păstrare şi procesare a fructelor, legumelor </w:t>
      </w:r>
      <w:proofErr w:type="gramStart"/>
      <w:r w:rsidRPr="004C3904">
        <w:rPr>
          <w:rFonts w:ascii="Times New Roman" w:hAnsi="Times New Roman"/>
          <w:sz w:val="24"/>
          <w:szCs w:val="24"/>
        </w:rPr>
        <w:t>şi  strugurilor</w:t>
      </w:r>
      <w:proofErr w:type="gramEnd"/>
      <w:r w:rsidRPr="004C3904">
        <w:rPr>
          <w:rFonts w:ascii="Times New Roman" w:hAnsi="Times New Roman"/>
          <w:sz w:val="24"/>
          <w:szCs w:val="24"/>
        </w:rPr>
        <w:t>, producătorii agricol</w:t>
      </w:r>
      <w:r w:rsidR="00B23EE9" w:rsidRPr="004C3904">
        <w:rPr>
          <w:rFonts w:ascii="Times New Roman" w:hAnsi="Times New Roman"/>
          <w:sz w:val="24"/>
          <w:szCs w:val="24"/>
        </w:rPr>
        <w:t xml:space="preserve">i din </w:t>
      </w:r>
    </w:p>
    <w:p w:rsidR="00821DE1" w:rsidRPr="004C3904" w:rsidRDefault="00B23EE9" w:rsidP="004C3904">
      <w:pPr>
        <w:pStyle w:val="aa"/>
        <w:jc w:val="both"/>
        <w:rPr>
          <w:rFonts w:ascii="Times New Roman" w:hAnsi="Times New Roman"/>
          <w:sz w:val="24"/>
          <w:szCs w:val="24"/>
        </w:rPr>
      </w:pPr>
      <w:r w:rsidRPr="004C3904">
        <w:rPr>
          <w:rFonts w:ascii="Times New Roman" w:hAnsi="Times New Roman"/>
          <w:sz w:val="24"/>
          <w:szCs w:val="24"/>
        </w:rPr>
        <w:t xml:space="preserve">raionul Cahul dispun de </w:t>
      </w:r>
      <w:r w:rsidR="00821DE1" w:rsidRPr="004C3904">
        <w:rPr>
          <w:rFonts w:ascii="Times New Roman" w:hAnsi="Times New Roman"/>
          <w:sz w:val="24"/>
          <w:szCs w:val="24"/>
        </w:rPr>
        <w:t xml:space="preserve">32 frigidere cu capacitatea totală de 9983 tone, din care în anul 2018 au fost date </w:t>
      </w:r>
      <w:r w:rsidR="00821DE1" w:rsidRPr="004C3904">
        <w:rPr>
          <w:rFonts w:ascii="Times New Roman" w:hAnsi="Times New Roman"/>
          <w:sz w:val="24"/>
          <w:szCs w:val="24"/>
          <w:lang w:val="ro-RO"/>
        </w:rPr>
        <w:t>date în exploatare 3 frigedere cu capacitatea totală de 2430 tone.</w:t>
      </w:r>
      <w:r w:rsidRPr="004C3904">
        <w:rPr>
          <w:rFonts w:ascii="Times New Roman" w:hAnsi="Times New Roman"/>
          <w:sz w:val="24"/>
          <w:szCs w:val="24"/>
        </w:rPr>
        <w:t xml:space="preserve">                                                                                                                                                                                                                                                                                                                                                                                                                                                                                                                                                                                                                                                                                                                                                                                                                                                                                                                                                                                                                                                                                                                                                                                                                                                                                                                                                                                                                                           </w:t>
      </w:r>
      <w:r w:rsidR="00436705" w:rsidRPr="004C3904">
        <w:rPr>
          <w:rFonts w:ascii="Times New Roman" w:hAnsi="Times New Roman"/>
          <w:sz w:val="24"/>
          <w:szCs w:val="24"/>
        </w:rPr>
        <w:t xml:space="preserve">  </w:t>
      </w:r>
    </w:p>
    <w:p w:rsidR="004C3904" w:rsidRDefault="00436705" w:rsidP="004C3904">
      <w:pPr>
        <w:pStyle w:val="aa"/>
        <w:jc w:val="both"/>
        <w:rPr>
          <w:rFonts w:ascii="Times New Roman" w:hAnsi="Times New Roman"/>
          <w:sz w:val="24"/>
          <w:szCs w:val="24"/>
        </w:rPr>
      </w:pPr>
      <w:proofErr w:type="gramStart"/>
      <w:r w:rsidRPr="00317E27">
        <w:rPr>
          <w:rFonts w:ascii="Times New Roman" w:hAnsi="Times New Roman"/>
          <w:b/>
          <w:sz w:val="24"/>
          <w:szCs w:val="24"/>
        </w:rPr>
        <w:t>Zootehnie.</w:t>
      </w:r>
      <w:proofErr w:type="gramEnd"/>
      <w:r w:rsidRPr="00317E27">
        <w:rPr>
          <w:rFonts w:ascii="Times New Roman" w:hAnsi="Times New Roman"/>
          <w:sz w:val="24"/>
          <w:szCs w:val="24"/>
        </w:rPr>
        <w:t xml:space="preserve">     </w:t>
      </w:r>
    </w:p>
    <w:p w:rsidR="002148BD" w:rsidRPr="002148BD" w:rsidRDefault="005821AD" w:rsidP="002148BD">
      <w:pPr>
        <w:pStyle w:val="aa"/>
        <w:jc w:val="both"/>
        <w:rPr>
          <w:rFonts w:ascii="Times New Roman" w:hAnsi="Times New Roman"/>
          <w:sz w:val="24"/>
          <w:szCs w:val="24"/>
          <w:lang w:val="ro-RO"/>
        </w:rPr>
      </w:pPr>
      <w:r w:rsidRPr="002148BD">
        <w:rPr>
          <w:rFonts w:ascii="Times New Roman" w:hAnsi="Times New Roman"/>
          <w:sz w:val="24"/>
          <w:szCs w:val="24"/>
          <w:lang w:val="ro-RO"/>
        </w:rPr>
        <w:t xml:space="preserve">     </w:t>
      </w:r>
      <w:r w:rsidR="002148BD" w:rsidRPr="002148BD">
        <w:rPr>
          <w:rFonts w:ascii="Times New Roman" w:hAnsi="Times New Roman"/>
          <w:sz w:val="24"/>
          <w:szCs w:val="24"/>
          <w:lang w:val="ro-RO"/>
        </w:rPr>
        <w:t>Volumul producției animaliere</w:t>
      </w:r>
      <w:r w:rsidR="002148BD">
        <w:rPr>
          <w:rFonts w:ascii="Times New Roman" w:hAnsi="Times New Roman"/>
          <w:sz w:val="24"/>
          <w:szCs w:val="24"/>
          <w:lang w:val="ro-RO"/>
        </w:rPr>
        <w:t>,</w:t>
      </w:r>
      <w:r w:rsidR="002148BD" w:rsidRPr="002148BD">
        <w:rPr>
          <w:rFonts w:ascii="Times New Roman" w:hAnsi="Times New Roman"/>
          <w:sz w:val="24"/>
          <w:szCs w:val="24"/>
          <w:lang w:val="ro-RO"/>
        </w:rPr>
        <w:t xml:space="preserve"> în prețuri comparabile</w:t>
      </w:r>
      <w:r w:rsidR="002148BD">
        <w:rPr>
          <w:rFonts w:ascii="Times New Roman" w:hAnsi="Times New Roman"/>
          <w:sz w:val="24"/>
          <w:szCs w:val="24"/>
          <w:lang w:val="ro-RO"/>
        </w:rPr>
        <w:t>,</w:t>
      </w:r>
      <w:r w:rsidR="002148BD" w:rsidRPr="002148BD">
        <w:rPr>
          <w:rFonts w:ascii="Times New Roman" w:hAnsi="Times New Roman"/>
          <w:sz w:val="24"/>
          <w:szCs w:val="24"/>
          <w:lang w:val="ro-RO"/>
        </w:rPr>
        <w:t xml:space="preserve"> </w:t>
      </w:r>
      <w:r w:rsidR="002148BD">
        <w:rPr>
          <w:rFonts w:ascii="Times New Roman" w:hAnsi="Times New Roman"/>
          <w:sz w:val="24"/>
          <w:szCs w:val="24"/>
          <w:lang w:val="ro-RO"/>
        </w:rPr>
        <w:t xml:space="preserve">în anul de referință constituie </w:t>
      </w:r>
      <w:r w:rsidR="002148BD" w:rsidRPr="002148BD">
        <w:rPr>
          <w:rFonts w:ascii="Times New Roman" w:hAnsi="Times New Roman"/>
          <w:sz w:val="24"/>
          <w:szCs w:val="24"/>
          <w:lang w:val="ro-RO"/>
        </w:rPr>
        <w:t xml:space="preserve">15,1 mln lei, în scădere cu 1,3% față de anul 2017. </w:t>
      </w:r>
      <w:r w:rsidR="002148BD">
        <w:rPr>
          <w:rFonts w:ascii="Times New Roman" w:hAnsi="Times New Roman"/>
          <w:sz w:val="24"/>
          <w:szCs w:val="24"/>
          <w:lang w:val="ro-RO"/>
        </w:rPr>
        <w:t>P</w:t>
      </w:r>
      <w:r w:rsidR="002148BD" w:rsidRPr="002148BD">
        <w:rPr>
          <w:rFonts w:ascii="Times New Roman" w:hAnsi="Times New Roman"/>
          <w:sz w:val="24"/>
          <w:szCs w:val="24"/>
          <w:lang w:val="ro-RO"/>
        </w:rPr>
        <w:t>onderea producției animaliere în totalul producției agricole constituie 3,1%.</w:t>
      </w:r>
    </w:p>
    <w:p w:rsidR="005821AD" w:rsidRPr="002148BD" w:rsidRDefault="002148BD" w:rsidP="002148BD">
      <w:pPr>
        <w:pStyle w:val="aa"/>
        <w:jc w:val="both"/>
        <w:rPr>
          <w:rFonts w:ascii="Times New Roman" w:hAnsi="Times New Roman"/>
          <w:sz w:val="24"/>
          <w:szCs w:val="24"/>
          <w:lang w:val="ro-RO"/>
        </w:rPr>
      </w:pPr>
      <w:r w:rsidRPr="002148BD">
        <w:rPr>
          <w:rFonts w:ascii="Times New Roman" w:hAnsi="Times New Roman"/>
          <w:sz w:val="24"/>
          <w:szCs w:val="24"/>
          <w:lang w:val="ro-RO"/>
        </w:rPr>
        <w:lastRenderedPageBreak/>
        <w:t>S</w:t>
      </w:r>
      <w:r w:rsidR="005821AD" w:rsidRPr="002148BD">
        <w:rPr>
          <w:rFonts w:ascii="Times New Roman" w:hAnsi="Times New Roman"/>
          <w:sz w:val="24"/>
          <w:szCs w:val="24"/>
          <w:lang w:val="ro-RO"/>
        </w:rPr>
        <w:t>ectorul zootehnic</w:t>
      </w:r>
      <w:r w:rsidRPr="002148BD">
        <w:rPr>
          <w:rFonts w:ascii="Times New Roman" w:hAnsi="Times New Roman"/>
          <w:sz w:val="24"/>
          <w:szCs w:val="24"/>
          <w:lang w:val="ro-RO"/>
        </w:rPr>
        <w:t xml:space="preserve"> pe</w:t>
      </w:r>
      <w:r w:rsidR="005821AD" w:rsidRPr="002148BD">
        <w:rPr>
          <w:rFonts w:ascii="Times New Roman" w:hAnsi="Times New Roman"/>
          <w:sz w:val="24"/>
          <w:szCs w:val="24"/>
          <w:lang w:val="ro-RO"/>
        </w:rPr>
        <w:t xml:space="preserve"> raionul Cahul dispune de un efectiv de 3189 bovine, din care 1903 vaci mulgătoare; 17041 porcine, inclusiv – 2276 femele reproducătoare;  76246 ovine şi caprine şi peste 500,0 mii  păsări.</w:t>
      </w:r>
    </w:p>
    <w:p w:rsidR="00CD2D5C" w:rsidRPr="002148BD" w:rsidRDefault="002148BD" w:rsidP="002148BD">
      <w:pPr>
        <w:pStyle w:val="aa"/>
        <w:jc w:val="both"/>
        <w:rPr>
          <w:rFonts w:ascii="Times New Roman" w:hAnsi="Times New Roman"/>
          <w:sz w:val="24"/>
          <w:szCs w:val="24"/>
          <w:lang w:val="ro-RO"/>
        </w:rPr>
      </w:pPr>
      <w:r w:rsidRPr="002148BD">
        <w:rPr>
          <w:rFonts w:ascii="Times New Roman" w:hAnsi="Times New Roman"/>
          <w:sz w:val="24"/>
          <w:szCs w:val="24"/>
        </w:rPr>
        <w:t>Conform situației la 31 decembrie 2018, față de anul precedent, a avut loc micșorare a efectivului la toate tipurile de animale</w:t>
      </w:r>
      <w:r w:rsidR="00CD2D5C" w:rsidRPr="002148BD">
        <w:rPr>
          <w:rFonts w:ascii="Times New Roman" w:hAnsi="Times New Roman"/>
          <w:sz w:val="24"/>
          <w:szCs w:val="24"/>
          <w:lang w:val="ro-RO"/>
        </w:rPr>
        <w:t xml:space="preserve">, din care: bovine cu 506 capete sau 14,8%, la suine cu 3418 capete sau 21,3%, la ovine și caprine cu 11547 capete, la păsări cu 67,5 mii capete sau 13,5%. </w:t>
      </w:r>
    </w:p>
    <w:p w:rsidR="00CD2D5C" w:rsidRPr="002148BD" w:rsidRDefault="00CD2D5C" w:rsidP="002148BD">
      <w:pPr>
        <w:pStyle w:val="aa"/>
        <w:jc w:val="both"/>
        <w:rPr>
          <w:rFonts w:ascii="Times New Roman" w:hAnsi="Times New Roman"/>
          <w:sz w:val="24"/>
          <w:szCs w:val="24"/>
          <w:lang w:val="ro-RO"/>
        </w:rPr>
      </w:pPr>
      <w:r w:rsidRPr="002148BD">
        <w:rPr>
          <w:rFonts w:ascii="Times New Roman" w:hAnsi="Times New Roman"/>
          <w:sz w:val="24"/>
          <w:szCs w:val="24"/>
          <w:lang w:val="ro-RO"/>
        </w:rPr>
        <w:t xml:space="preserve">  În perioada de raportare în sectorul  corporativ s-a produs carne total ( creștere în masă via ) în cantitate de 878,4 tone, în scădere cu 2,4% față </w:t>
      </w:r>
      <w:r w:rsidR="002148BD" w:rsidRPr="002148BD">
        <w:rPr>
          <w:rFonts w:ascii="Times New Roman" w:hAnsi="Times New Roman"/>
          <w:sz w:val="24"/>
          <w:szCs w:val="24"/>
          <w:lang w:val="ro-RO"/>
        </w:rPr>
        <w:t>de anul 2017; lapte- 568,3 tone</w:t>
      </w:r>
      <w:r w:rsidRPr="002148BD">
        <w:rPr>
          <w:rFonts w:ascii="Times New Roman" w:hAnsi="Times New Roman"/>
          <w:sz w:val="24"/>
          <w:szCs w:val="24"/>
          <w:lang w:val="ro-RO"/>
        </w:rPr>
        <w:t xml:space="preserve"> în deminuare cu 8,4%, ouă - 51,2% față de anul precedent; lînă cu 9,5% mai puțină.</w:t>
      </w:r>
    </w:p>
    <w:p w:rsidR="00436705" w:rsidRPr="00317E27" w:rsidRDefault="003250F8" w:rsidP="001A1AC8">
      <w:pPr>
        <w:rPr>
          <w:rFonts w:ascii="Times New Roman" w:hAnsi="Times New Roman"/>
          <w:sz w:val="24"/>
          <w:szCs w:val="24"/>
          <w:lang w:val="ro-RO"/>
        </w:rPr>
      </w:pPr>
      <w:r>
        <w:rPr>
          <w:lang w:val="ro-RO"/>
        </w:rPr>
        <w:t xml:space="preserve"> </w:t>
      </w:r>
      <w:r w:rsidR="00CD2D5C">
        <w:rPr>
          <w:lang w:val="ro-RO"/>
        </w:rPr>
        <w:t xml:space="preserve">   </w:t>
      </w:r>
      <w:r w:rsidR="00436705" w:rsidRPr="00317E27">
        <w:rPr>
          <w:sz w:val="24"/>
          <w:szCs w:val="24"/>
        </w:rPr>
        <w:t xml:space="preserve"> </w:t>
      </w:r>
      <w:r w:rsidR="00436705" w:rsidRPr="00317E27">
        <w:rPr>
          <w:rFonts w:ascii="Times New Roman" w:hAnsi="Times New Roman"/>
          <w:sz w:val="24"/>
          <w:szCs w:val="24"/>
          <w:lang w:val="ro-RO"/>
        </w:rPr>
        <w:t>Producătorii agricoli din raion sporesc competitivitatea sectorului agrar nu numai prin investiții proprii, dar și cu susținerea fondului de subvenționare.</w:t>
      </w:r>
    </w:p>
    <w:p w:rsidR="00436705" w:rsidRPr="00317E27" w:rsidRDefault="00436705" w:rsidP="00436705">
      <w:pPr>
        <w:spacing w:after="0"/>
        <w:jc w:val="both"/>
        <w:rPr>
          <w:rFonts w:ascii="Times New Roman" w:eastAsia="Times New Roman" w:hAnsi="Times New Roman"/>
          <w:bCs/>
          <w:color w:val="000000"/>
          <w:sz w:val="24"/>
          <w:szCs w:val="24"/>
        </w:rPr>
      </w:pPr>
      <w:r w:rsidRPr="00317E27">
        <w:rPr>
          <w:rFonts w:ascii="Times New Roman" w:hAnsi="Times New Roman"/>
          <w:sz w:val="24"/>
          <w:szCs w:val="24"/>
          <w:lang w:val="ro-RO"/>
        </w:rPr>
        <w:t xml:space="preserve">        Este de remarcat, că </w:t>
      </w:r>
      <w:r w:rsidR="004C3904">
        <w:rPr>
          <w:rFonts w:ascii="Times New Roman" w:hAnsi="Times New Roman"/>
          <w:sz w:val="24"/>
          <w:szCs w:val="24"/>
          <w:lang w:val="ro-RO"/>
        </w:rPr>
        <w:t xml:space="preserve">anual creşte numărul de beneficiari şi a </w:t>
      </w:r>
      <w:r w:rsidRPr="00317E27">
        <w:rPr>
          <w:rFonts w:ascii="Times New Roman" w:hAnsi="Times New Roman"/>
          <w:sz w:val="24"/>
          <w:szCs w:val="24"/>
          <w:lang w:val="ro-RO"/>
        </w:rPr>
        <w:t xml:space="preserve"> investițiilor efectuate în domeniul agricol,  în anul 201</w:t>
      </w:r>
      <w:r w:rsidR="004C3904">
        <w:rPr>
          <w:rFonts w:ascii="Times New Roman" w:hAnsi="Times New Roman"/>
          <w:sz w:val="24"/>
          <w:szCs w:val="24"/>
          <w:lang w:val="ro-RO"/>
        </w:rPr>
        <w:t>8</w:t>
      </w:r>
      <w:r w:rsidRPr="00317E27">
        <w:rPr>
          <w:rFonts w:ascii="Times New Roman" w:hAnsi="Times New Roman"/>
          <w:sz w:val="24"/>
          <w:szCs w:val="24"/>
          <w:lang w:val="ro-RO"/>
        </w:rPr>
        <w:t>, au beneficiat  din mijloacele Fond</w:t>
      </w:r>
      <w:r w:rsidR="004C3904">
        <w:rPr>
          <w:rFonts w:ascii="Times New Roman" w:hAnsi="Times New Roman"/>
          <w:sz w:val="24"/>
          <w:szCs w:val="24"/>
          <w:lang w:val="ro-RO"/>
        </w:rPr>
        <w:t xml:space="preserve">ului Național de subvenționare  </w:t>
      </w:r>
      <w:r w:rsidR="00534573">
        <w:rPr>
          <w:rFonts w:ascii="Times New Roman" w:hAnsi="Times New Roman"/>
          <w:sz w:val="24"/>
          <w:szCs w:val="24"/>
          <w:lang w:val="ro-RO"/>
        </w:rPr>
        <w:t xml:space="preserve">510 </w:t>
      </w:r>
      <w:r w:rsidR="00534573" w:rsidRPr="00317E27">
        <w:rPr>
          <w:rFonts w:ascii="Times New Roman" w:hAnsi="Times New Roman"/>
          <w:sz w:val="24"/>
          <w:szCs w:val="24"/>
          <w:lang w:val="ro-RO"/>
        </w:rPr>
        <w:t xml:space="preserve"> producătorii agricoli din raionul Cahul </w:t>
      </w:r>
      <w:r w:rsidR="004C3904">
        <w:rPr>
          <w:rFonts w:ascii="Times New Roman" w:hAnsi="Times New Roman"/>
          <w:sz w:val="24"/>
          <w:szCs w:val="24"/>
          <w:lang w:val="ro-RO"/>
        </w:rPr>
        <w:t>în sumă totală de 68575,2 mii lei</w:t>
      </w:r>
      <w:r w:rsidR="00534573">
        <w:rPr>
          <w:rFonts w:ascii="Times New Roman" w:hAnsi="Times New Roman"/>
          <w:sz w:val="24"/>
          <w:szCs w:val="24"/>
          <w:lang w:val="ro-RO"/>
        </w:rPr>
        <w:t>,</w:t>
      </w:r>
      <w:r w:rsidR="004C3904">
        <w:rPr>
          <w:rFonts w:ascii="Times New Roman" w:hAnsi="Times New Roman"/>
          <w:sz w:val="24"/>
          <w:szCs w:val="24"/>
          <w:lang w:val="ro-RO"/>
        </w:rPr>
        <w:t xml:space="preserve"> ceea ce constituie o majorare </w:t>
      </w:r>
      <w:r w:rsidR="00534573">
        <w:rPr>
          <w:rFonts w:ascii="Times New Roman" w:hAnsi="Times New Roman"/>
          <w:sz w:val="24"/>
          <w:szCs w:val="24"/>
          <w:lang w:val="ro-RO"/>
        </w:rPr>
        <w:t>cu</w:t>
      </w:r>
      <w:r w:rsidR="004C3904">
        <w:rPr>
          <w:rFonts w:ascii="Times New Roman" w:hAnsi="Times New Roman"/>
          <w:sz w:val="24"/>
          <w:szCs w:val="24"/>
          <w:lang w:val="ro-RO"/>
        </w:rPr>
        <w:t xml:space="preserve"> 43 la sută faţă de anul 201</w:t>
      </w:r>
      <w:r w:rsidR="00534573">
        <w:rPr>
          <w:rFonts w:ascii="Times New Roman" w:hAnsi="Times New Roman"/>
          <w:sz w:val="24"/>
          <w:szCs w:val="24"/>
          <w:lang w:val="ro-RO"/>
        </w:rPr>
        <w:t>7</w:t>
      </w:r>
      <w:r w:rsidRPr="00317E27">
        <w:rPr>
          <w:rFonts w:ascii="Times New Roman" w:hAnsi="Times New Roman"/>
          <w:sz w:val="24"/>
          <w:szCs w:val="24"/>
          <w:lang w:val="ro-RO"/>
        </w:rPr>
        <w:t>, din care:</w:t>
      </w:r>
    </w:p>
    <w:p w:rsidR="00436705" w:rsidRPr="00317E27" w:rsidRDefault="00436705" w:rsidP="00436705">
      <w:pPr>
        <w:pStyle w:val="aa"/>
        <w:numPr>
          <w:ilvl w:val="0"/>
          <w:numId w:val="2"/>
        </w:numPr>
        <w:jc w:val="both"/>
        <w:rPr>
          <w:rFonts w:ascii="Times New Roman" w:hAnsi="Times New Roman"/>
          <w:sz w:val="24"/>
          <w:szCs w:val="24"/>
          <w:lang w:val="ro-RO"/>
        </w:rPr>
      </w:pPr>
      <w:r w:rsidRPr="00317E27">
        <w:rPr>
          <w:rFonts w:ascii="Times New Roman" w:hAnsi="Times New Roman"/>
          <w:sz w:val="24"/>
          <w:szCs w:val="24"/>
          <w:lang w:val="ro-RO"/>
        </w:rPr>
        <w:t xml:space="preserve">defrişarea plantaţiilor multianuale  - </w:t>
      </w:r>
      <w:r w:rsidR="00534573">
        <w:rPr>
          <w:rFonts w:ascii="Times New Roman" w:hAnsi="Times New Roman"/>
          <w:sz w:val="24"/>
          <w:szCs w:val="24"/>
          <w:lang w:val="ro-RO"/>
        </w:rPr>
        <w:t>4</w:t>
      </w:r>
      <w:r w:rsidRPr="00317E27">
        <w:rPr>
          <w:rFonts w:ascii="Times New Roman" w:hAnsi="Times New Roman"/>
          <w:sz w:val="24"/>
          <w:szCs w:val="24"/>
          <w:lang w:val="ro-RO"/>
        </w:rPr>
        <w:t>,</w:t>
      </w:r>
      <w:r w:rsidR="00534573">
        <w:rPr>
          <w:rFonts w:ascii="Times New Roman" w:hAnsi="Times New Roman"/>
          <w:sz w:val="24"/>
          <w:szCs w:val="24"/>
          <w:lang w:val="ro-RO"/>
        </w:rPr>
        <w:t>6</w:t>
      </w:r>
      <w:r w:rsidRPr="00317E27">
        <w:rPr>
          <w:rFonts w:ascii="Times New Roman" w:hAnsi="Times New Roman"/>
          <w:sz w:val="24"/>
          <w:szCs w:val="24"/>
          <w:lang w:val="ro-RO"/>
        </w:rPr>
        <w:t xml:space="preserve"> mln lei, </w:t>
      </w:r>
    </w:p>
    <w:p w:rsidR="00436705" w:rsidRDefault="00436705" w:rsidP="00436705">
      <w:pPr>
        <w:pStyle w:val="aa"/>
        <w:numPr>
          <w:ilvl w:val="0"/>
          <w:numId w:val="2"/>
        </w:numPr>
        <w:jc w:val="both"/>
        <w:rPr>
          <w:rFonts w:ascii="Times New Roman" w:hAnsi="Times New Roman"/>
          <w:sz w:val="24"/>
          <w:szCs w:val="24"/>
          <w:lang w:val="ro-RO"/>
        </w:rPr>
      </w:pPr>
      <w:r w:rsidRPr="00317E27">
        <w:rPr>
          <w:rFonts w:ascii="Times New Roman" w:hAnsi="Times New Roman"/>
          <w:sz w:val="24"/>
          <w:szCs w:val="24"/>
          <w:lang w:val="ro-RO"/>
        </w:rPr>
        <w:t>înfiinţarea, modernizarea plantaţiilor multuanuale</w:t>
      </w:r>
      <w:r w:rsidR="00BB44A0">
        <w:rPr>
          <w:rFonts w:ascii="Times New Roman" w:hAnsi="Times New Roman"/>
          <w:sz w:val="24"/>
          <w:szCs w:val="24"/>
          <w:lang w:val="ro-RO"/>
        </w:rPr>
        <w:t>, plantaţii pomicole</w:t>
      </w:r>
      <w:r w:rsidRPr="00317E27">
        <w:rPr>
          <w:rFonts w:ascii="Times New Roman" w:hAnsi="Times New Roman"/>
          <w:sz w:val="24"/>
          <w:szCs w:val="24"/>
          <w:lang w:val="ro-RO"/>
        </w:rPr>
        <w:t xml:space="preserve"> – </w:t>
      </w:r>
      <w:r w:rsidR="00534573">
        <w:rPr>
          <w:rFonts w:ascii="Times New Roman" w:hAnsi="Times New Roman"/>
          <w:sz w:val="24"/>
          <w:szCs w:val="24"/>
          <w:lang w:val="ro-RO"/>
        </w:rPr>
        <w:t>1</w:t>
      </w:r>
      <w:r w:rsidRPr="00317E27">
        <w:rPr>
          <w:rFonts w:ascii="Times New Roman" w:hAnsi="Times New Roman"/>
          <w:sz w:val="24"/>
          <w:szCs w:val="24"/>
          <w:lang w:val="ro-RO"/>
        </w:rPr>
        <w:t>,</w:t>
      </w:r>
      <w:r w:rsidR="00534573">
        <w:rPr>
          <w:rFonts w:ascii="Times New Roman" w:hAnsi="Times New Roman"/>
          <w:sz w:val="24"/>
          <w:szCs w:val="24"/>
          <w:lang w:val="ro-RO"/>
        </w:rPr>
        <w:t>6</w:t>
      </w:r>
      <w:r w:rsidRPr="00317E27">
        <w:rPr>
          <w:rFonts w:ascii="Times New Roman" w:hAnsi="Times New Roman"/>
          <w:sz w:val="24"/>
          <w:szCs w:val="24"/>
          <w:lang w:val="ro-RO"/>
        </w:rPr>
        <w:t xml:space="preserve"> mln.lei</w:t>
      </w:r>
    </w:p>
    <w:p w:rsidR="00BB44A0" w:rsidRDefault="00BB44A0" w:rsidP="00436705">
      <w:pPr>
        <w:pStyle w:val="aa"/>
        <w:numPr>
          <w:ilvl w:val="0"/>
          <w:numId w:val="2"/>
        </w:numPr>
        <w:jc w:val="both"/>
        <w:rPr>
          <w:rFonts w:ascii="Times New Roman" w:hAnsi="Times New Roman"/>
          <w:sz w:val="24"/>
          <w:szCs w:val="24"/>
          <w:lang w:val="ro-RO"/>
        </w:rPr>
      </w:pPr>
      <w:r>
        <w:rPr>
          <w:rFonts w:ascii="Times New Roman" w:hAnsi="Times New Roman"/>
          <w:sz w:val="24"/>
          <w:szCs w:val="24"/>
          <w:lang w:val="ro-RO"/>
        </w:rPr>
        <w:t>stimularea investiţiilor p/ru înfiinţarea, modernizarea şi defrişarea plantaţiilor viticole-4,3 mln.lei,</w:t>
      </w:r>
    </w:p>
    <w:p w:rsidR="00BB44A0" w:rsidRPr="00317E27" w:rsidRDefault="00BB44A0" w:rsidP="00436705">
      <w:pPr>
        <w:pStyle w:val="aa"/>
        <w:numPr>
          <w:ilvl w:val="0"/>
          <w:numId w:val="2"/>
        </w:numPr>
        <w:jc w:val="both"/>
        <w:rPr>
          <w:rFonts w:ascii="Times New Roman" w:hAnsi="Times New Roman"/>
          <w:sz w:val="24"/>
          <w:szCs w:val="24"/>
          <w:lang w:val="ro-RO"/>
        </w:rPr>
      </w:pPr>
      <w:r>
        <w:rPr>
          <w:rFonts w:ascii="Times New Roman" w:hAnsi="Times New Roman"/>
          <w:sz w:val="24"/>
          <w:szCs w:val="24"/>
          <w:lang w:val="ro-RO"/>
        </w:rPr>
        <w:t>stimularea investiţiilor p/ru instalarea sistemelor moderne de suporturi în plantaţiile multianuale-  4,0 mln.lei,</w:t>
      </w:r>
    </w:p>
    <w:p w:rsidR="00436705" w:rsidRPr="00317E27" w:rsidRDefault="00436705" w:rsidP="00436705">
      <w:pPr>
        <w:pStyle w:val="aa"/>
        <w:numPr>
          <w:ilvl w:val="0"/>
          <w:numId w:val="2"/>
        </w:numPr>
        <w:jc w:val="both"/>
        <w:rPr>
          <w:rFonts w:ascii="Times New Roman" w:hAnsi="Times New Roman"/>
          <w:sz w:val="24"/>
          <w:szCs w:val="24"/>
          <w:lang w:val="ro-RO"/>
        </w:rPr>
      </w:pPr>
      <w:r w:rsidRPr="00317E27">
        <w:rPr>
          <w:rFonts w:ascii="Times New Roman" w:hAnsi="Times New Roman"/>
          <w:sz w:val="24"/>
          <w:szCs w:val="24"/>
          <w:lang w:val="ro-RO"/>
        </w:rPr>
        <w:t xml:space="preserve">procurarea tehnicii și a utilajului agricol  </w:t>
      </w:r>
      <w:r w:rsidRPr="00BB44A0">
        <w:rPr>
          <w:rFonts w:ascii="Times New Roman" w:hAnsi="Times New Roman"/>
          <w:sz w:val="24"/>
          <w:szCs w:val="24"/>
          <w:lang w:val="ro-RO"/>
        </w:rPr>
        <w:t>- 1</w:t>
      </w:r>
      <w:r w:rsidR="00534573" w:rsidRPr="00BB44A0">
        <w:rPr>
          <w:rFonts w:ascii="Times New Roman" w:hAnsi="Times New Roman"/>
          <w:sz w:val="24"/>
          <w:szCs w:val="24"/>
          <w:lang w:val="ro-RO"/>
        </w:rPr>
        <w:t>4</w:t>
      </w:r>
      <w:r w:rsidRPr="00BB44A0">
        <w:rPr>
          <w:rFonts w:ascii="Times New Roman" w:hAnsi="Times New Roman"/>
          <w:sz w:val="24"/>
          <w:szCs w:val="24"/>
          <w:lang w:val="ro-RO"/>
        </w:rPr>
        <w:t>,</w:t>
      </w:r>
      <w:r w:rsidR="00534573" w:rsidRPr="00BB44A0">
        <w:rPr>
          <w:rFonts w:ascii="Times New Roman" w:hAnsi="Times New Roman"/>
          <w:sz w:val="24"/>
          <w:szCs w:val="24"/>
          <w:lang w:val="ro-RO"/>
        </w:rPr>
        <w:t>3</w:t>
      </w:r>
      <w:r w:rsidRPr="00BB44A0">
        <w:rPr>
          <w:rFonts w:ascii="Times New Roman" w:hAnsi="Times New Roman"/>
          <w:sz w:val="24"/>
          <w:szCs w:val="24"/>
          <w:lang w:val="ro-RO"/>
        </w:rPr>
        <w:t xml:space="preserve"> mln lei</w:t>
      </w:r>
      <w:r w:rsidRPr="00317E27">
        <w:rPr>
          <w:rFonts w:ascii="Times New Roman" w:hAnsi="Times New Roman"/>
          <w:sz w:val="24"/>
          <w:szCs w:val="24"/>
          <w:lang w:val="ro-RO"/>
        </w:rPr>
        <w:t>,</w:t>
      </w:r>
    </w:p>
    <w:p w:rsidR="00436705" w:rsidRPr="00317E27" w:rsidRDefault="00436705" w:rsidP="00436705">
      <w:pPr>
        <w:pStyle w:val="aa"/>
        <w:numPr>
          <w:ilvl w:val="0"/>
          <w:numId w:val="2"/>
        </w:numPr>
        <w:jc w:val="both"/>
        <w:rPr>
          <w:rFonts w:ascii="Times New Roman" w:hAnsi="Times New Roman"/>
          <w:sz w:val="24"/>
          <w:szCs w:val="24"/>
          <w:lang w:val="ro-RO"/>
        </w:rPr>
      </w:pPr>
      <w:r w:rsidRPr="00317E27">
        <w:rPr>
          <w:rFonts w:ascii="Times New Roman" w:hAnsi="Times New Roman"/>
          <w:sz w:val="24"/>
          <w:szCs w:val="24"/>
          <w:lang w:val="ro-RO"/>
        </w:rPr>
        <w:t xml:space="preserve">procesare, uscare și congelarea fructelor, strugurilor – </w:t>
      </w:r>
      <w:r w:rsidR="00534573">
        <w:rPr>
          <w:rFonts w:ascii="Times New Roman" w:hAnsi="Times New Roman"/>
          <w:sz w:val="24"/>
          <w:szCs w:val="24"/>
          <w:lang w:val="ro-RO"/>
        </w:rPr>
        <w:t>12,2</w:t>
      </w:r>
      <w:r w:rsidRPr="00317E27">
        <w:rPr>
          <w:rFonts w:ascii="Times New Roman" w:hAnsi="Times New Roman"/>
          <w:sz w:val="24"/>
          <w:szCs w:val="24"/>
          <w:lang w:val="ro-RO"/>
        </w:rPr>
        <w:t xml:space="preserve"> mln lei;</w:t>
      </w:r>
    </w:p>
    <w:p w:rsidR="00436705" w:rsidRPr="00317E27" w:rsidRDefault="00436705" w:rsidP="00436705">
      <w:pPr>
        <w:pStyle w:val="aa"/>
        <w:numPr>
          <w:ilvl w:val="0"/>
          <w:numId w:val="2"/>
        </w:numPr>
        <w:jc w:val="both"/>
        <w:rPr>
          <w:rFonts w:ascii="Times New Roman" w:hAnsi="Times New Roman"/>
          <w:sz w:val="24"/>
          <w:szCs w:val="24"/>
          <w:lang w:val="ro-RO"/>
        </w:rPr>
      </w:pPr>
      <w:r w:rsidRPr="00317E27">
        <w:rPr>
          <w:rFonts w:ascii="Times New Roman" w:hAnsi="Times New Roman"/>
          <w:sz w:val="24"/>
          <w:szCs w:val="24"/>
          <w:lang w:val="ro-RO"/>
        </w:rPr>
        <w:t>prelucrarea , uscarea şi condiţionarea cerealelor, oleaginoaselor, floarea-soarelui – 2,1 mln.lei;</w:t>
      </w:r>
    </w:p>
    <w:p w:rsidR="00436705" w:rsidRPr="00317E27" w:rsidRDefault="00436705" w:rsidP="00436705">
      <w:pPr>
        <w:pStyle w:val="aa"/>
        <w:numPr>
          <w:ilvl w:val="0"/>
          <w:numId w:val="2"/>
        </w:numPr>
        <w:jc w:val="both"/>
        <w:rPr>
          <w:rFonts w:ascii="Times New Roman" w:hAnsi="Times New Roman"/>
          <w:sz w:val="24"/>
          <w:szCs w:val="24"/>
          <w:lang w:val="ro-RO"/>
        </w:rPr>
      </w:pPr>
      <w:r w:rsidRPr="00317E27">
        <w:rPr>
          <w:rFonts w:ascii="Times New Roman" w:hAnsi="Times New Roman"/>
          <w:sz w:val="24"/>
          <w:szCs w:val="24"/>
          <w:lang w:val="ro-RO"/>
        </w:rPr>
        <w:t>case de ambalare și frigidere de păstrare a fructelor, strugurilor și legumelor -</w:t>
      </w:r>
      <w:r w:rsidR="00534573">
        <w:rPr>
          <w:rFonts w:ascii="Times New Roman" w:hAnsi="Times New Roman"/>
          <w:sz w:val="24"/>
          <w:szCs w:val="24"/>
          <w:lang w:val="ro-RO"/>
        </w:rPr>
        <w:t>9,7</w:t>
      </w:r>
      <w:r w:rsidRPr="00317E27">
        <w:rPr>
          <w:rFonts w:ascii="Times New Roman" w:hAnsi="Times New Roman"/>
          <w:sz w:val="24"/>
          <w:szCs w:val="24"/>
          <w:lang w:val="ro-RO"/>
        </w:rPr>
        <w:t xml:space="preserve"> mln lei;</w:t>
      </w:r>
    </w:p>
    <w:p w:rsidR="00436705" w:rsidRPr="00317E27" w:rsidRDefault="00436705" w:rsidP="00436705">
      <w:pPr>
        <w:pStyle w:val="aa"/>
        <w:numPr>
          <w:ilvl w:val="0"/>
          <w:numId w:val="2"/>
        </w:numPr>
        <w:jc w:val="both"/>
        <w:rPr>
          <w:rFonts w:ascii="Times New Roman" w:hAnsi="Times New Roman"/>
          <w:sz w:val="24"/>
          <w:szCs w:val="24"/>
          <w:lang w:val="ro-RO"/>
        </w:rPr>
      </w:pPr>
      <w:r w:rsidRPr="00317E27">
        <w:rPr>
          <w:rFonts w:ascii="Times New Roman" w:hAnsi="Times New Roman"/>
          <w:sz w:val="24"/>
          <w:szCs w:val="24"/>
          <w:lang w:val="ro-RO"/>
        </w:rPr>
        <w:t xml:space="preserve">stimularea creditării de către băncile comerciale -  </w:t>
      </w:r>
      <w:r w:rsidR="00534573">
        <w:rPr>
          <w:rFonts w:ascii="Times New Roman" w:hAnsi="Times New Roman"/>
          <w:sz w:val="24"/>
          <w:szCs w:val="24"/>
          <w:lang w:val="ro-RO"/>
        </w:rPr>
        <w:t>4</w:t>
      </w:r>
      <w:r w:rsidRPr="00317E27">
        <w:rPr>
          <w:rFonts w:ascii="Times New Roman" w:hAnsi="Times New Roman"/>
          <w:sz w:val="24"/>
          <w:szCs w:val="24"/>
          <w:lang w:val="ro-RO"/>
        </w:rPr>
        <w:t>,</w:t>
      </w:r>
      <w:r w:rsidR="00534573">
        <w:rPr>
          <w:rFonts w:ascii="Times New Roman" w:hAnsi="Times New Roman"/>
          <w:sz w:val="24"/>
          <w:szCs w:val="24"/>
          <w:lang w:val="ro-RO"/>
        </w:rPr>
        <w:t>1</w:t>
      </w:r>
      <w:r w:rsidRPr="00317E27">
        <w:rPr>
          <w:rFonts w:ascii="Times New Roman" w:hAnsi="Times New Roman"/>
          <w:sz w:val="24"/>
          <w:szCs w:val="24"/>
          <w:lang w:val="ro-RO"/>
        </w:rPr>
        <w:t xml:space="preserve"> mln lei,</w:t>
      </w:r>
    </w:p>
    <w:p w:rsidR="00436705" w:rsidRPr="00317E27" w:rsidRDefault="00436705" w:rsidP="00436705">
      <w:pPr>
        <w:pStyle w:val="aa"/>
        <w:numPr>
          <w:ilvl w:val="0"/>
          <w:numId w:val="2"/>
        </w:numPr>
        <w:jc w:val="both"/>
        <w:rPr>
          <w:rFonts w:ascii="Times New Roman" w:hAnsi="Times New Roman"/>
          <w:sz w:val="24"/>
          <w:szCs w:val="24"/>
          <w:lang w:val="ro-RO"/>
        </w:rPr>
      </w:pPr>
      <w:r w:rsidRPr="00317E27">
        <w:rPr>
          <w:rFonts w:ascii="Times New Roman" w:hAnsi="Times New Roman"/>
          <w:sz w:val="24"/>
          <w:szCs w:val="24"/>
          <w:lang w:val="ro-RO"/>
        </w:rPr>
        <w:t>mecanismul de asigurare a riscurilor în agricultură  - 0,2</w:t>
      </w:r>
      <w:r w:rsidR="00534573">
        <w:rPr>
          <w:rFonts w:ascii="Times New Roman" w:hAnsi="Times New Roman"/>
          <w:sz w:val="24"/>
          <w:szCs w:val="24"/>
          <w:lang w:val="ro-RO"/>
        </w:rPr>
        <w:t>7</w:t>
      </w:r>
      <w:r w:rsidRPr="00317E27">
        <w:rPr>
          <w:rFonts w:ascii="Times New Roman" w:hAnsi="Times New Roman"/>
          <w:sz w:val="24"/>
          <w:szCs w:val="24"/>
          <w:lang w:val="ro-RO"/>
        </w:rPr>
        <w:t xml:space="preserve">  mln lei, </w:t>
      </w:r>
    </w:p>
    <w:p w:rsidR="00436705" w:rsidRPr="00317E27" w:rsidRDefault="00436705" w:rsidP="00436705">
      <w:pPr>
        <w:pStyle w:val="aa"/>
        <w:numPr>
          <w:ilvl w:val="0"/>
          <w:numId w:val="2"/>
        </w:numPr>
        <w:jc w:val="both"/>
        <w:rPr>
          <w:rFonts w:ascii="Times New Roman" w:hAnsi="Times New Roman"/>
          <w:sz w:val="24"/>
          <w:szCs w:val="24"/>
          <w:lang w:val="ro-RO"/>
        </w:rPr>
      </w:pPr>
      <w:r w:rsidRPr="00317E27">
        <w:rPr>
          <w:rFonts w:ascii="Times New Roman" w:hAnsi="Times New Roman"/>
          <w:sz w:val="24"/>
          <w:szCs w:val="24"/>
          <w:lang w:val="ro-RO"/>
        </w:rPr>
        <w:t xml:space="preserve">pentru procurarea echipamentului No-Till și Mini-Till – </w:t>
      </w:r>
      <w:r w:rsidR="00534573">
        <w:rPr>
          <w:rFonts w:ascii="Times New Roman" w:hAnsi="Times New Roman"/>
          <w:sz w:val="24"/>
          <w:szCs w:val="24"/>
          <w:lang w:val="ro-RO"/>
        </w:rPr>
        <w:t>3,8</w:t>
      </w:r>
      <w:r w:rsidRPr="00317E27">
        <w:rPr>
          <w:rFonts w:ascii="Times New Roman" w:hAnsi="Times New Roman"/>
          <w:sz w:val="24"/>
          <w:szCs w:val="24"/>
          <w:lang w:val="ro-RO"/>
        </w:rPr>
        <w:t xml:space="preserve"> mln lei, etc.</w:t>
      </w:r>
    </w:p>
    <w:p w:rsidR="00436705" w:rsidRPr="00317E27" w:rsidRDefault="00436705" w:rsidP="00436705">
      <w:pPr>
        <w:pStyle w:val="aa"/>
        <w:ind w:firstLine="360"/>
        <w:jc w:val="both"/>
        <w:rPr>
          <w:rFonts w:ascii="Times New Roman" w:hAnsi="Times New Roman"/>
          <w:sz w:val="24"/>
          <w:szCs w:val="24"/>
          <w:lang w:val="ro-RO"/>
        </w:rPr>
      </w:pPr>
    </w:p>
    <w:p w:rsidR="00436705" w:rsidRPr="004B3272" w:rsidRDefault="00436705" w:rsidP="004B3272">
      <w:pPr>
        <w:pStyle w:val="aa"/>
        <w:ind w:firstLine="360"/>
        <w:jc w:val="both"/>
        <w:rPr>
          <w:rFonts w:ascii="Times New Roman" w:hAnsi="Times New Roman"/>
          <w:sz w:val="24"/>
          <w:szCs w:val="24"/>
          <w:lang w:val="ro-RO"/>
        </w:rPr>
      </w:pPr>
      <w:r w:rsidRPr="004B3272">
        <w:rPr>
          <w:rFonts w:ascii="Times New Roman" w:hAnsi="Times New Roman"/>
          <w:sz w:val="24"/>
          <w:szCs w:val="24"/>
        </w:rPr>
        <w:t>Pentru familiarizarea producătorilor agricoli privind aplicarea tehnologiilor performante și promovarea politicii agrare în teritoriu, pe parcursul  anului 201</w:t>
      </w:r>
      <w:r w:rsidR="00BB44A0" w:rsidRPr="004B3272">
        <w:rPr>
          <w:rFonts w:ascii="Times New Roman" w:hAnsi="Times New Roman"/>
          <w:sz w:val="24"/>
          <w:szCs w:val="24"/>
        </w:rPr>
        <w:t>8</w:t>
      </w:r>
      <w:r w:rsidRPr="004B3272">
        <w:rPr>
          <w:rFonts w:ascii="Times New Roman" w:hAnsi="Times New Roman"/>
          <w:sz w:val="24"/>
          <w:szCs w:val="24"/>
        </w:rPr>
        <w:t xml:space="preserve"> specialiștii Direcției agricultură și dezvoltare economică  au organizat și desfășurat, în comun cu specialiștii Ministerului Agriculturii, Dezvoltare Regional</w:t>
      </w:r>
      <w:r w:rsidR="00BB44A0" w:rsidRPr="004B3272">
        <w:rPr>
          <w:rFonts w:ascii="Times New Roman" w:hAnsi="Times New Roman"/>
          <w:sz w:val="24"/>
          <w:szCs w:val="24"/>
        </w:rPr>
        <w:t>ă</w:t>
      </w:r>
      <w:r w:rsidRPr="004B3272">
        <w:rPr>
          <w:rFonts w:ascii="Times New Roman" w:hAnsi="Times New Roman"/>
          <w:sz w:val="24"/>
          <w:szCs w:val="24"/>
        </w:rPr>
        <w:t xml:space="preserve"> şi Mediu  și  cu colaboratorii  Instituțiilor  științifice de profil,  1</w:t>
      </w:r>
      <w:r w:rsidR="00BB44A0" w:rsidRPr="004B3272">
        <w:rPr>
          <w:rFonts w:ascii="Times New Roman" w:hAnsi="Times New Roman"/>
          <w:sz w:val="24"/>
          <w:szCs w:val="24"/>
        </w:rPr>
        <w:t>5</w:t>
      </w:r>
      <w:r w:rsidRPr="004B3272">
        <w:rPr>
          <w:rFonts w:ascii="Times New Roman" w:hAnsi="Times New Roman"/>
          <w:sz w:val="24"/>
          <w:szCs w:val="24"/>
        </w:rPr>
        <w:t xml:space="preserve"> seminare  instructiv-informative. </w:t>
      </w:r>
    </w:p>
    <w:p w:rsidR="00436705" w:rsidRPr="004B3272" w:rsidRDefault="00436705" w:rsidP="004B3272">
      <w:pPr>
        <w:pStyle w:val="aa"/>
        <w:jc w:val="both"/>
        <w:rPr>
          <w:rFonts w:ascii="Times New Roman" w:hAnsi="Times New Roman"/>
          <w:sz w:val="24"/>
          <w:szCs w:val="24"/>
        </w:rPr>
      </w:pPr>
      <w:r w:rsidRPr="004B3272">
        <w:rPr>
          <w:rFonts w:ascii="Times New Roman" w:hAnsi="Times New Roman"/>
          <w:sz w:val="24"/>
          <w:szCs w:val="24"/>
        </w:rPr>
        <w:t xml:space="preserve">          </w:t>
      </w:r>
      <w:r w:rsidR="00BB44A0" w:rsidRPr="004B3272">
        <w:rPr>
          <w:rFonts w:ascii="Times New Roman" w:hAnsi="Times New Roman"/>
          <w:sz w:val="24"/>
          <w:szCs w:val="24"/>
        </w:rPr>
        <w:t>Annual, î</w:t>
      </w:r>
      <w:r w:rsidRPr="004B3272">
        <w:rPr>
          <w:rFonts w:ascii="Times New Roman" w:hAnsi="Times New Roman"/>
          <w:sz w:val="24"/>
          <w:szCs w:val="24"/>
        </w:rPr>
        <w:t>n comun cu Asociaț</w:t>
      </w:r>
      <w:proofErr w:type="gramStart"/>
      <w:r w:rsidRPr="004B3272">
        <w:rPr>
          <w:rFonts w:ascii="Times New Roman" w:hAnsi="Times New Roman"/>
          <w:sz w:val="24"/>
          <w:szCs w:val="24"/>
        </w:rPr>
        <w:t>ia  producătorilor</w:t>
      </w:r>
      <w:proofErr w:type="gramEnd"/>
      <w:r w:rsidRPr="004B3272">
        <w:rPr>
          <w:rFonts w:ascii="Times New Roman" w:hAnsi="Times New Roman"/>
          <w:sz w:val="24"/>
          <w:szCs w:val="24"/>
        </w:rPr>
        <w:t xml:space="preserve"> de struguri de masă  din raion  și  Fundația Elvețiană  ,, HE</w:t>
      </w:r>
      <w:r w:rsidR="00BB44A0" w:rsidRPr="004B3272">
        <w:rPr>
          <w:rFonts w:ascii="Times New Roman" w:hAnsi="Times New Roman"/>
          <w:sz w:val="24"/>
          <w:szCs w:val="24"/>
        </w:rPr>
        <w:t xml:space="preserve">KS” a fost  relansată cea de-a </w:t>
      </w:r>
      <w:r w:rsidRPr="004B3272">
        <w:rPr>
          <w:rFonts w:ascii="Times New Roman" w:hAnsi="Times New Roman"/>
          <w:sz w:val="24"/>
          <w:szCs w:val="24"/>
        </w:rPr>
        <w:t>V ediție a instruirii tinerilor viticultori la „Școala meșterului viticultor”. La absolvire viticultorii au susținut examene și au primit Diplome de absolvire.</w:t>
      </w:r>
    </w:p>
    <w:p w:rsidR="00436705" w:rsidRPr="004B3272" w:rsidRDefault="00436705" w:rsidP="004B3272">
      <w:pPr>
        <w:pStyle w:val="aa"/>
        <w:jc w:val="both"/>
        <w:rPr>
          <w:rFonts w:ascii="Times New Roman" w:hAnsi="Times New Roman"/>
          <w:sz w:val="24"/>
          <w:szCs w:val="24"/>
        </w:rPr>
      </w:pPr>
      <w:r w:rsidRPr="004B3272">
        <w:rPr>
          <w:rFonts w:ascii="Times New Roman" w:hAnsi="Times New Roman"/>
          <w:sz w:val="24"/>
          <w:szCs w:val="24"/>
        </w:rPr>
        <w:t xml:space="preserve">          Pentru promovarea producției viticole și a strugurilor de masă pe piața autohtonă și internațională</w:t>
      </w:r>
      <w:proofErr w:type="gramStart"/>
      <w:r w:rsidRPr="004B3272">
        <w:rPr>
          <w:rFonts w:ascii="Times New Roman" w:hAnsi="Times New Roman"/>
          <w:sz w:val="24"/>
          <w:szCs w:val="24"/>
        </w:rPr>
        <w:t>,  agen</w:t>
      </w:r>
      <w:proofErr w:type="gramEnd"/>
      <w:r w:rsidRPr="004B3272">
        <w:rPr>
          <w:rFonts w:ascii="Times New Roman" w:hAnsi="Times New Roman"/>
          <w:sz w:val="24"/>
          <w:szCs w:val="24"/>
        </w:rPr>
        <w:t xml:space="preserve">ții economici din raion </w:t>
      </w:r>
      <w:r w:rsidR="004B3272" w:rsidRPr="004B3272">
        <w:rPr>
          <w:rFonts w:ascii="Times New Roman" w:hAnsi="Times New Roman"/>
          <w:sz w:val="24"/>
          <w:szCs w:val="24"/>
        </w:rPr>
        <w:t xml:space="preserve">au participat la  ediția a </w:t>
      </w:r>
      <w:r w:rsidRPr="004B3272">
        <w:rPr>
          <w:rFonts w:ascii="Times New Roman" w:hAnsi="Times New Roman"/>
          <w:sz w:val="24"/>
          <w:szCs w:val="24"/>
        </w:rPr>
        <w:t>V  a Festivalului Național ,, Ziua strugurelui ”  din orașul Cimișlia,  unde producătorii agricoli din raion au fost menționați cu  diplome de mențiune pentru calitatea strugurilor prezentați în cadrul expoziției.</w:t>
      </w:r>
    </w:p>
    <w:p w:rsidR="00436705" w:rsidRPr="004B3272" w:rsidRDefault="004B3272" w:rsidP="004B3272">
      <w:pPr>
        <w:pStyle w:val="aa"/>
        <w:ind w:firstLine="708"/>
        <w:jc w:val="both"/>
        <w:rPr>
          <w:rFonts w:ascii="Times New Roman" w:hAnsi="Times New Roman"/>
          <w:sz w:val="24"/>
          <w:szCs w:val="24"/>
        </w:rPr>
      </w:pPr>
      <w:r>
        <w:rPr>
          <w:rFonts w:ascii="Times New Roman" w:hAnsi="Times New Roman"/>
          <w:sz w:val="24"/>
          <w:szCs w:val="24"/>
        </w:rPr>
        <w:t>Pentru p</w:t>
      </w:r>
      <w:r w:rsidR="00436705" w:rsidRPr="004B3272">
        <w:rPr>
          <w:rFonts w:ascii="Times New Roman" w:hAnsi="Times New Roman"/>
          <w:sz w:val="24"/>
          <w:szCs w:val="24"/>
        </w:rPr>
        <w:t xml:space="preserve">romovarea crescătorilor de ovine şi caprine şi a meşterilor populari, care prelucrează pielicele de oi și articolelor perfecționate din piele cât și alte produse alimentare (brânză, urdă, </w:t>
      </w:r>
      <w:proofErr w:type="gramStart"/>
      <w:r w:rsidR="00436705" w:rsidRPr="004B3272">
        <w:rPr>
          <w:rFonts w:ascii="Times New Roman" w:hAnsi="Times New Roman"/>
          <w:sz w:val="24"/>
          <w:szCs w:val="24"/>
        </w:rPr>
        <w:t>cavurma  ș</w:t>
      </w:r>
      <w:proofErr w:type="gramEnd"/>
      <w:r w:rsidR="00436705" w:rsidRPr="004B3272">
        <w:rPr>
          <w:rFonts w:ascii="Times New Roman" w:hAnsi="Times New Roman"/>
          <w:sz w:val="24"/>
          <w:szCs w:val="24"/>
        </w:rPr>
        <w:t xml:space="preserve">. a.)  pe  piața  autohtonă și internațională,  anual,  participăm împreună cu cei mai buni  crescătorii de ovine și caprine și meșteri populari din raion  la «Expoziția – Târg  republicană  a crescătorilor de ovine și caprine »,  care se petrece în or. Orhei, la </w:t>
      </w:r>
      <w:proofErr w:type="gramStart"/>
      <w:r w:rsidR="00436705" w:rsidRPr="004B3272">
        <w:rPr>
          <w:rFonts w:ascii="Times New Roman" w:hAnsi="Times New Roman"/>
          <w:sz w:val="24"/>
          <w:szCs w:val="24"/>
        </w:rPr>
        <w:t>care  crescătorii</w:t>
      </w:r>
      <w:proofErr w:type="gramEnd"/>
      <w:r w:rsidR="00436705" w:rsidRPr="004B3272">
        <w:rPr>
          <w:rFonts w:ascii="Times New Roman" w:hAnsi="Times New Roman"/>
          <w:sz w:val="24"/>
          <w:szCs w:val="24"/>
        </w:rPr>
        <w:t xml:space="preserve"> de animale din raionul Cahul au fost premiați cu diplome  și cadouri de preț. </w:t>
      </w:r>
    </w:p>
    <w:p w:rsidR="00436705" w:rsidRPr="004B3272" w:rsidRDefault="00436705" w:rsidP="004B3272">
      <w:pPr>
        <w:pStyle w:val="aa"/>
        <w:ind w:firstLine="708"/>
        <w:jc w:val="both"/>
        <w:rPr>
          <w:rFonts w:ascii="Times New Roman" w:hAnsi="Times New Roman"/>
          <w:sz w:val="24"/>
          <w:szCs w:val="24"/>
          <w:lang w:val="ro-RO"/>
        </w:rPr>
      </w:pPr>
      <w:r w:rsidRPr="004B3272">
        <w:rPr>
          <w:rFonts w:ascii="Times New Roman" w:hAnsi="Times New Roman"/>
          <w:sz w:val="24"/>
          <w:szCs w:val="24"/>
          <w:lang w:val="ro-RO"/>
        </w:rPr>
        <w:t xml:space="preserve">      Pe parcursul anului,  colaboratorii Direcția  au conlucrat cu producătorii agricoli din raion, APL de nivelul I și serviciile desconcentrate din teritoriu  pentru monitorizarea și </w:t>
      </w:r>
      <w:r w:rsidRPr="004B3272">
        <w:rPr>
          <w:rFonts w:ascii="Times New Roman" w:hAnsi="Times New Roman"/>
          <w:sz w:val="24"/>
          <w:szCs w:val="24"/>
          <w:lang w:val="ro-RO"/>
        </w:rPr>
        <w:lastRenderedPageBreak/>
        <w:t>acumularea informației  operative  din teritoriu privind semănatul culturilor, producției obținute în toate tipurile  de gospodării,  recoltarea culturilor de grupa I,  grupa a II, a fructelor și strugurilor  tehnici și de masă în urma cărora au fost elaborate  sinteze  și prognoze  trimestriale  și  anuală.  A fost elaborată  informația privind deținătorii de teren agricol pe fiecare   primărie (raportul statistc – F 3 agro), precum și totalurile semănatului pentru recolta  anului 201</w:t>
      </w:r>
      <w:r w:rsidR="004B3272" w:rsidRPr="004B3272">
        <w:rPr>
          <w:rFonts w:ascii="Times New Roman" w:hAnsi="Times New Roman"/>
          <w:sz w:val="24"/>
          <w:szCs w:val="24"/>
          <w:lang w:val="ro-RO"/>
        </w:rPr>
        <w:t>8</w:t>
      </w:r>
      <w:r w:rsidRPr="004B3272">
        <w:rPr>
          <w:rFonts w:ascii="Times New Roman" w:hAnsi="Times New Roman"/>
          <w:sz w:val="24"/>
          <w:szCs w:val="24"/>
          <w:lang w:val="ro-RO"/>
        </w:rPr>
        <w:t xml:space="preserve"> în toate tipurile de gospodării (raportul statistic  F 4 – agro). </w:t>
      </w:r>
    </w:p>
    <w:p w:rsidR="00436705" w:rsidRPr="004B3272" w:rsidRDefault="00436705" w:rsidP="004B3272">
      <w:pPr>
        <w:pStyle w:val="aa"/>
        <w:jc w:val="both"/>
        <w:rPr>
          <w:rFonts w:ascii="Times New Roman" w:hAnsi="Times New Roman"/>
          <w:sz w:val="24"/>
          <w:szCs w:val="24"/>
          <w:lang w:val="ro-RO"/>
        </w:rPr>
      </w:pPr>
      <w:r w:rsidRPr="004B3272">
        <w:rPr>
          <w:rFonts w:ascii="Times New Roman" w:hAnsi="Times New Roman"/>
          <w:sz w:val="24"/>
          <w:szCs w:val="24"/>
          <w:lang w:val="ro-RO"/>
        </w:rPr>
        <w:t xml:space="preserve">   </w:t>
      </w:r>
      <w:r w:rsidR="004B3272">
        <w:rPr>
          <w:rFonts w:ascii="Times New Roman" w:hAnsi="Times New Roman"/>
          <w:sz w:val="24"/>
          <w:szCs w:val="24"/>
          <w:lang w:val="ro-RO"/>
        </w:rPr>
        <w:tab/>
      </w:r>
      <w:r w:rsidRPr="004B3272">
        <w:rPr>
          <w:rFonts w:ascii="Times New Roman" w:hAnsi="Times New Roman"/>
          <w:sz w:val="24"/>
          <w:szCs w:val="24"/>
          <w:lang w:val="ro-RO"/>
        </w:rPr>
        <w:t>La încheierea anului agricol au fost elaborați indicii economici în baza raportului  statistic F 29 – agro.</w:t>
      </w:r>
    </w:p>
    <w:p w:rsidR="00436705" w:rsidRPr="004B3272" w:rsidRDefault="00436705" w:rsidP="004B3272">
      <w:pPr>
        <w:pStyle w:val="aa"/>
        <w:jc w:val="both"/>
        <w:rPr>
          <w:rFonts w:ascii="Times New Roman" w:hAnsi="Times New Roman"/>
          <w:sz w:val="24"/>
          <w:szCs w:val="24"/>
        </w:rPr>
      </w:pPr>
      <w:r w:rsidRPr="004B3272">
        <w:rPr>
          <w:rFonts w:ascii="Times New Roman" w:hAnsi="Times New Roman"/>
          <w:sz w:val="24"/>
          <w:szCs w:val="24"/>
          <w:lang w:val="ro-RO"/>
        </w:rPr>
        <w:t xml:space="preserve"> </w:t>
      </w:r>
      <w:r w:rsidRPr="004B3272">
        <w:rPr>
          <w:rFonts w:ascii="Times New Roman" w:hAnsi="Times New Roman"/>
          <w:sz w:val="24"/>
          <w:szCs w:val="24"/>
          <w:lang w:val="ro-RO"/>
        </w:rPr>
        <w:tab/>
        <w:t xml:space="preserve">Permanent se acordă consultații  agenților  economici și persoanelor  fizice din sectorul agrar al  raionului ceea ce ține de  </w:t>
      </w:r>
      <w:r w:rsidRPr="004B3272">
        <w:rPr>
          <w:rFonts w:ascii="Times New Roman" w:hAnsi="Times New Roman"/>
          <w:sz w:val="24"/>
          <w:szCs w:val="24"/>
        </w:rPr>
        <w:t xml:space="preserve">implementarea soiurilor noi de  productivitate înaltă, mașinelor agricole performante, tehnologiilor modern, care la rîndul lor duc la sporirea  productivității sectorului agrar. </w:t>
      </w:r>
    </w:p>
    <w:p w:rsidR="00436705" w:rsidRPr="004B3272" w:rsidRDefault="00436705" w:rsidP="004B3272">
      <w:pPr>
        <w:pStyle w:val="aa"/>
        <w:ind w:firstLine="708"/>
        <w:jc w:val="both"/>
        <w:rPr>
          <w:rFonts w:ascii="Times New Roman" w:hAnsi="Times New Roman"/>
          <w:sz w:val="24"/>
          <w:szCs w:val="24"/>
          <w:lang w:val="ro-RO"/>
        </w:rPr>
      </w:pPr>
      <w:r w:rsidRPr="004B3272">
        <w:rPr>
          <w:rFonts w:ascii="Times New Roman" w:hAnsi="Times New Roman"/>
          <w:sz w:val="24"/>
          <w:szCs w:val="24"/>
          <w:lang w:val="ro-RO"/>
        </w:rPr>
        <w:t>Colaboratorii Direcției au monitorizat, colectat și procesat informația operativă din teritoriu cu referire la mersul lucrărilor agricole, în baza căreia au fost elaborate informații operative și transmise Ministerului Agriculturii, precum și altor  instituții interesate.</w:t>
      </w:r>
    </w:p>
    <w:p w:rsidR="00436705" w:rsidRPr="004B3272" w:rsidRDefault="00436705" w:rsidP="004B3272">
      <w:pPr>
        <w:pStyle w:val="aa"/>
        <w:jc w:val="both"/>
        <w:rPr>
          <w:rFonts w:ascii="Times New Roman" w:hAnsi="Times New Roman"/>
          <w:sz w:val="24"/>
          <w:szCs w:val="24"/>
          <w:lang w:val="ro-RO"/>
        </w:rPr>
      </w:pPr>
      <w:r w:rsidRPr="004B3272">
        <w:rPr>
          <w:rFonts w:ascii="Times New Roman" w:hAnsi="Times New Roman"/>
          <w:sz w:val="24"/>
          <w:szCs w:val="24"/>
        </w:rPr>
        <w:t xml:space="preserve">  </w:t>
      </w:r>
      <w:r w:rsidR="004B3272">
        <w:rPr>
          <w:rFonts w:ascii="Times New Roman" w:hAnsi="Times New Roman"/>
          <w:sz w:val="24"/>
          <w:szCs w:val="24"/>
        </w:rPr>
        <w:tab/>
      </w:r>
      <w:r w:rsidR="004B3272" w:rsidRPr="004B3272">
        <w:rPr>
          <w:rFonts w:ascii="Times New Roman" w:hAnsi="Times New Roman"/>
          <w:sz w:val="24"/>
          <w:szCs w:val="24"/>
          <w:lang w:val="ro-RO"/>
        </w:rPr>
        <w:t>Pe parcursul anului 2018 s-a continuat actualizarea informației privind deținătorii</w:t>
      </w:r>
      <w:r w:rsidRPr="004B3272">
        <w:rPr>
          <w:rFonts w:ascii="Times New Roman" w:hAnsi="Times New Roman"/>
          <w:sz w:val="24"/>
          <w:szCs w:val="24"/>
          <w:lang w:val="ro-RO"/>
        </w:rPr>
        <w:t xml:space="preserve"> de plantații viticole pentru plasarea acestora în Registrul producătorilor de struguri de masă, care cuprinde centrul viticol cu suprafețele aflate în posesie a tuturor deținătorilor de struguri de masă pe soiuri</w:t>
      </w:r>
      <w:r w:rsidR="004B3272" w:rsidRPr="004B3272">
        <w:rPr>
          <w:rFonts w:ascii="Times New Roman" w:hAnsi="Times New Roman"/>
          <w:sz w:val="24"/>
          <w:szCs w:val="24"/>
          <w:lang w:val="ro-RO"/>
        </w:rPr>
        <w:t>.</w:t>
      </w:r>
    </w:p>
    <w:p w:rsidR="00436705" w:rsidRPr="00317E27" w:rsidRDefault="00436705" w:rsidP="00246E98">
      <w:pPr>
        <w:tabs>
          <w:tab w:val="center" w:pos="9870"/>
        </w:tabs>
        <w:spacing w:after="0"/>
        <w:jc w:val="both"/>
        <w:rPr>
          <w:rFonts w:ascii="Times New Roman" w:hAnsi="Times New Roman"/>
          <w:sz w:val="24"/>
          <w:szCs w:val="24"/>
        </w:rPr>
      </w:pPr>
      <w:r w:rsidRPr="00317E27">
        <w:rPr>
          <w:rFonts w:ascii="Times New Roman" w:hAnsi="Times New Roman"/>
          <w:sz w:val="24"/>
          <w:szCs w:val="24"/>
          <w:lang w:val="ro-RO"/>
        </w:rPr>
        <w:t xml:space="preserve">   </w:t>
      </w:r>
    </w:p>
    <w:p w:rsidR="00436705" w:rsidRPr="00317E27" w:rsidRDefault="00436705" w:rsidP="00436705">
      <w:pPr>
        <w:spacing w:after="0" w:line="240" w:lineRule="auto"/>
        <w:jc w:val="both"/>
        <w:rPr>
          <w:rFonts w:ascii="Times New Roman" w:hAnsi="Times New Roman"/>
          <w:sz w:val="24"/>
          <w:szCs w:val="24"/>
          <w:lang w:val="ro-RO"/>
        </w:rPr>
      </w:pPr>
      <w:r w:rsidRPr="00317E27">
        <w:rPr>
          <w:rFonts w:ascii="Times New Roman" w:hAnsi="Times New Roman"/>
          <w:sz w:val="24"/>
          <w:szCs w:val="24"/>
          <w:lang w:val="ro-RO"/>
        </w:rPr>
        <w:t>Cu aportul şi sub egida Direcției agricultură și dezvoltare economică au fost formate şi au activat, pe parcursul anului, următoarele Comisii de importanţă raională:</w:t>
      </w:r>
    </w:p>
    <w:p w:rsidR="00436705" w:rsidRPr="00317E27" w:rsidRDefault="00436705" w:rsidP="00436705">
      <w:pPr>
        <w:numPr>
          <w:ilvl w:val="0"/>
          <w:numId w:val="3"/>
        </w:numPr>
        <w:tabs>
          <w:tab w:val="num" w:pos="720"/>
        </w:tabs>
        <w:spacing w:after="0" w:line="240" w:lineRule="auto"/>
        <w:ind w:left="720" w:hanging="540"/>
        <w:jc w:val="both"/>
        <w:rPr>
          <w:rFonts w:ascii="Times New Roman" w:hAnsi="Times New Roman"/>
          <w:sz w:val="24"/>
          <w:szCs w:val="24"/>
        </w:rPr>
      </w:pPr>
      <w:r w:rsidRPr="00317E27">
        <w:rPr>
          <w:rFonts w:ascii="Times New Roman" w:hAnsi="Times New Roman"/>
          <w:sz w:val="24"/>
          <w:szCs w:val="24"/>
        </w:rPr>
        <w:t>Consiliul Economic pe lîngă Preşedintele raionului Cahul</w:t>
      </w:r>
    </w:p>
    <w:p w:rsidR="00436705" w:rsidRPr="00317E27" w:rsidRDefault="00436705" w:rsidP="00436705">
      <w:pPr>
        <w:numPr>
          <w:ilvl w:val="0"/>
          <w:numId w:val="3"/>
        </w:numPr>
        <w:tabs>
          <w:tab w:val="num" w:pos="720"/>
        </w:tabs>
        <w:spacing w:after="0" w:line="240" w:lineRule="auto"/>
        <w:ind w:left="720" w:hanging="540"/>
        <w:jc w:val="both"/>
        <w:rPr>
          <w:rFonts w:ascii="Times New Roman" w:hAnsi="Times New Roman"/>
          <w:sz w:val="24"/>
          <w:szCs w:val="24"/>
        </w:rPr>
      </w:pPr>
      <w:r w:rsidRPr="00317E27">
        <w:rPr>
          <w:rFonts w:ascii="Times New Roman" w:hAnsi="Times New Roman"/>
          <w:sz w:val="24"/>
          <w:szCs w:val="24"/>
          <w:lang w:val="ro-RO"/>
        </w:rPr>
        <w:t>Comisia raională pentru organizarea, monitorizarea şi controlul pregătirii activităţii în sezonul rece 201</w:t>
      </w:r>
      <w:r w:rsidR="00246E98">
        <w:rPr>
          <w:rFonts w:ascii="Times New Roman" w:hAnsi="Times New Roman"/>
          <w:sz w:val="24"/>
          <w:szCs w:val="24"/>
          <w:lang w:val="ro-RO"/>
        </w:rPr>
        <w:t>8</w:t>
      </w:r>
      <w:r w:rsidRPr="00317E27">
        <w:rPr>
          <w:rFonts w:ascii="Times New Roman" w:hAnsi="Times New Roman"/>
          <w:sz w:val="24"/>
          <w:szCs w:val="24"/>
          <w:lang w:val="ro-RO"/>
        </w:rPr>
        <w:t>-201</w:t>
      </w:r>
      <w:r w:rsidR="00246E98">
        <w:rPr>
          <w:rFonts w:ascii="Times New Roman" w:hAnsi="Times New Roman"/>
          <w:sz w:val="24"/>
          <w:szCs w:val="24"/>
          <w:lang w:val="ro-RO"/>
        </w:rPr>
        <w:t>9</w:t>
      </w:r>
      <w:r w:rsidRPr="00317E27">
        <w:rPr>
          <w:rFonts w:ascii="Times New Roman" w:hAnsi="Times New Roman"/>
          <w:sz w:val="24"/>
          <w:szCs w:val="24"/>
          <w:lang w:val="ro-RO"/>
        </w:rPr>
        <w:t>;</w:t>
      </w:r>
    </w:p>
    <w:p w:rsidR="00436705" w:rsidRPr="00317E27" w:rsidRDefault="00436705" w:rsidP="00436705">
      <w:pPr>
        <w:numPr>
          <w:ilvl w:val="0"/>
          <w:numId w:val="3"/>
        </w:numPr>
        <w:tabs>
          <w:tab w:val="num" w:pos="720"/>
        </w:tabs>
        <w:spacing w:after="0" w:line="240" w:lineRule="auto"/>
        <w:ind w:left="720" w:hanging="540"/>
        <w:jc w:val="both"/>
        <w:rPr>
          <w:rFonts w:ascii="Times New Roman" w:hAnsi="Times New Roman"/>
          <w:sz w:val="24"/>
          <w:szCs w:val="24"/>
        </w:rPr>
      </w:pPr>
      <w:r w:rsidRPr="00317E27">
        <w:rPr>
          <w:rFonts w:ascii="Times New Roman" w:hAnsi="Times New Roman"/>
          <w:sz w:val="24"/>
          <w:szCs w:val="24"/>
        </w:rPr>
        <w:t>Grupul de lucru pentru achiziţia de mărfuri, lucrări şi servicii a Consiliului Raional Cahul;</w:t>
      </w:r>
    </w:p>
    <w:p w:rsidR="00436705" w:rsidRPr="00317E27" w:rsidRDefault="00436705" w:rsidP="00436705">
      <w:pPr>
        <w:numPr>
          <w:ilvl w:val="0"/>
          <w:numId w:val="3"/>
        </w:numPr>
        <w:tabs>
          <w:tab w:val="num" w:pos="720"/>
        </w:tabs>
        <w:spacing w:after="0" w:line="240" w:lineRule="auto"/>
        <w:ind w:left="720" w:hanging="540"/>
        <w:jc w:val="both"/>
        <w:rPr>
          <w:rFonts w:ascii="Times New Roman" w:hAnsi="Times New Roman"/>
          <w:sz w:val="24"/>
          <w:szCs w:val="24"/>
          <w:lang w:val="ro-RO"/>
        </w:rPr>
      </w:pPr>
      <w:r w:rsidRPr="00317E27">
        <w:rPr>
          <w:rFonts w:ascii="Times New Roman" w:hAnsi="Times New Roman"/>
          <w:sz w:val="24"/>
          <w:szCs w:val="24"/>
          <w:lang w:val="ro-RO"/>
        </w:rPr>
        <w:t>Comisia de privatizare şi deetatizare  a proprietăţii publice a Consiliului Raional Cahul;</w:t>
      </w:r>
    </w:p>
    <w:p w:rsidR="00436705" w:rsidRPr="00317E27" w:rsidRDefault="00436705" w:rsidP="00436705">
      <w:pPr>
        <w:pStyle w:val="ac"/>
        <w:numPr>
          <w:ilvl w:val="0"/>
          <w:numId w:val="3"/>
        </w:numPr>
        <w:ind w:left="709" w:hanging="567"/>
        <w:jc w:val="both"/>
        <w:rPr>
          <w:rFonts w:ascii="Times New Roman" w:hAnsi="Times New Roman"/>
          <w:sz w:val="24"/>
          <w:szCs w:val="24"/>
        </w:rPr>
      </w:pPr>
      <w:r w:rsidRPr="00317E27">
        <w:rPr>
          <w:rFonts w:ascii="Times New Roman" w:hAnsi="Times New Roman"/>
          <w:sz w:val="24"/>
          <w:szCs w:val="24"/>
        </w:rPr>
        <w:t>Comisia de privatizare a fondului de locuinţe;</w:t>
      </w:r>
    </w:p>
    <w:p w:rsidR="00436705" w:rsidRPr="00317E27" w:rsidRDefault="00436705" w:rsidP="00436705">
      <w:pPr>
        <w:pStyle w:val="ac"/>
        <w:numPr>
          <w:ilvl w:val="0"/>
          <w:numId w:val="3"/>
        </w:numPr>
        <w:tabs>
          <w:tab w:val="num" w:pos="720"/>
        </w:tabs>
        <w:spacing w:after="0" w:line="240" w:lineRule="auto"/>
        <w:ind w:left="720" w:hanging="540"/>
        <w:jc w:val="both"/>
        <w:rPr>
          <w:rFonts w:ascii="Times New Roman" w:hAnsi="Times New Roman"/>
          <w:sz w:val="24"/>
          <w:szCs w:val="24"/>
          <w:lang w:val="ro-RO"/>
        </w:rPr>
      </w:pPr>
      <w:r w:rsidRPr="00317E27">
        <w:rPr>
          <w:rFonts w:ascii="Times New Roman" w:hAnsi="Times New Roman"/>
          <w:sz w:val="24"/>
          <w:szCs w:val="24"/>
        </w:rPr>
        <w:t>Grupul de monitorizare a mersului înd</w:t>
      </w:r>
      <w:r w:rsidR="00246E98">
        <w:rPr>
          <w:rFonts w:ascii="Times New Roman" w:hAnsi="Times New Roman"/>
          <w:sz w:val="24"/>
          <w:szCs w:val="24"/>
        </w:rPr>
        <w:t>e</w:t>
      </w:r>
      <w:r w:rsidRPr="00317E27">
        <w:rPr>
          <w:rFonts w:ascii="Times New Roman" w:hAnsi="Times New Roman"/>
          <w:sz w:val="24"/>
          <w:szCs w:val="24"/>
        </w:rPr>
        <w:t>plinirii Planului de acţiuni întru implementarea Programului de dezvoltare socio-economică a raionului Cahul pentru anii 2017-2020;</w:t>
      </w:r>
    </w:p>
    <w:p w:rsidR="00436705" w:rsidRPr="00317E27" w:rsidRDefault="00436705" w:rsidP="00436705">
      <w:pPr>
        <w:pStyle w:val="aa"/>
        <w:ind w:firstLine="720"/>
        <w:jc w:val="both"/>
        <w:rPr>
          <w:rFonts w:ascii="Times New Roman" w:hAnsi="Times New Roman"/>
          <w:sz w:val="24"/>
          <w:szCs w:val="24"/>
        </w:rPr>
      </w:pPr>
      <w:r w:rsidRPr="00317E27">
        <w:rPr>
          <w:rFonts w:ascii="Times New Roman" w:hAnsi="Times New Roman"/>
          <w:sz w:val="24"/>
          <w:szCs w:val="24"/>
        </w:rPr>
        <w:t xml:space="preserve">Comisiile permanente au contribuit la implementarea politicilor Guvernului, cît şi la </w:t>
      </w:r>
      <w:r w:rsidRPr="00317E27">
        <w:rPr>
          <w:rFonts w:ascii="Times New Roman" w:hAnsi="Times New Roman"/>
          <w:bCs/>
          <w:sz w:val="24"/>
          <w:szCs w:val="24"/>
        </w:rPr>
        <w:t>realizarea politicii de dezvoltare  teritorială</w:t>
      </w:r>
      <w:r w:rsidRPr="00317E27">
        <w:rPr>
          <w:rFonts w:ascii="Times New Roman" w:hAnsi="Times New Roman"/>
          <w:sz w:val="24"/>
          <w:szCs w:val="24"/>
        </w:rPr>
        <w:t>, au examinat şi au luat decizii privind soluţionarea diverselor probleme, în rezultat au elaborat şi au înaintat la şedinţele Consiliului Raional Cahul proiecte de decizii întru soluţionarea problemelor apărute,  propuneri de achiziţionare şi asigurare a populaţiei cu produse de primă necesitate, elaborarea măsurilor privind pregătirea pentru buna activitate a instituțiilor și obiectivelor subordinate Consiliului Raional Cahul în perioada sezonului rece.</w:t>
      </w:r>
    </w:p>
    <w:p w:rsidR="00436705" w:rsidRPr="00317E27" w:rsidRDefault="00436705" w:rsidP="00246E98">
      <w:pPr>
        <w:pStyle w:val="aa"/>
        <w:jc w:val="both"/>
        <w:rPr>
          <w:rFonts w:ascii="Times New Roman" w:hAnsi="Times New Roman"/>
          <w:sz w:val="24"/>
          <w:szCs w:val="24"/>
        </w:rPr>
      </w:pPr>
      <w:r w:rsidRPr="00317E27">
        <w:rPr>
          <w:rFonts w:ascii="Times New Roman" w:hAnsi="Times New Roman"/>
          <w:sz w:val="24"/>
          <w:szCs w:val="24"/>
        </w:rPr>
        <w:t xml:space="preserve"> </w:t>
      </w:r>
      <w:r w:rsidR="00246E98">
        <w:rPr>
          <w:rFonts w:ascii="Times New Roman" w:hAnsi="Times New Roman"/>
          <w:sz w:val="24"/>
          <w:szCs w:val="24"/>
        </w:rPr>
        <w:tab/>
      </w:r>
      <w:r w:rsidRPr="00317E27">
        <w:rPr>
          <w:rFonts w:ascii="Times New Roman" w:hAnsi="Times New Roman"/>
          <w:sz w:val="24"/>
          <w:szCs w:val="24"/>
        </w:rPr>
        <w:t>Pentru realizarea deciziei Consiliului Raional Cahul nr.0</w:t>
      </w:r>
      <w:r w:rsidR="00967D59">
        <w:rPr>
          <w:rFonts w:ascii="Times New Roman" w:hAnsi="Times New Roman"/>
          <w:sz w:val="24"/>
          <w:szCs w:val="24"/>
        </w:rPr>
        <w:t>3</w:t>
      </w:r>
      <w:r w:rsidRPr="00317E27">
        <w:rPr>
          <w:rFonts w:ascii="Times New Roman" w:hAnsi="Times New Roman"/>
          <w:sz w:val="24"/>
          <w:szCs w:val="24"/>
        </w:rPr>
        <w:t>/03-IV din 2</w:t>
      </w:r>
      <w:r w:rsidR="00967D59">
        <w:rPr>
          <w:rFonts w:ascii="Times New Roman" w:hAnsi="Times New Roman"/>
          <w:sz w:val="24"/>
          <w:szCs w:val="24"/>
        </w:rPr>
        <w:t>8</w:t>
      </w:r>
      <w:r w:rsidRPr="00317E27">
        <w:rPr>
          <w:rFonts w:ascii="Times New Roman" w:hAnsi="Times New Roman"/>
          <w:sz w:val="24"/>
          <w:szCs w:val="24"/>
        </w:rPr>
        <w:t>.06.201</w:t>
      </w:r>
      <w:r w:rsidR="00967D59">
        <w:rPr>
          <w:rFonts w:ascii="Times New Roman" w:hAnsi="Times New Roman"/>
          <w:sz w:val="24"/>
          <w:szCs w:val="24"/>
        </w:rPr>
        <w:t>8</w:t>
      </w:r>
      <w:r w:rsidRPr="00317E27">
        <w:rPr>
          <w:rFonts w:ascii="Times New Roman" w:hAnsi="Times New Roman"/>
          <w:sz w:val="24"/>
          <w:szCs w:val="24"/>
        </w:rPr>
        <w:t xml:space="preserve"> „Cu privire la măsurile de pregătire a economiei raionale şi sferei sociale pentru activitate în perioada de toamnă-iarnă 201</w:t>
      </w:r>
      <w:r w:rsidR="00967D59">
        <w:rPr>
          <w:rFonts w:ascii="Times New Roman" w:hAnsi="Times New Roman"/>
          <w:sz w:val="24"/>
          <w:szCs w:val="24"/>
        </w:rPr>
        <w:t>8</w:t>
      </w:r>
      <w:r w:rsidRPr="00317E27">
        <w:rPr>
          <w:rFonts w:ascii="Times New Roman" w:hAnsi="Times New Roman"/>
          <w:sz w:val="24"/>
          <w:szCs w:val="24"/>
        </w:rPr>
        <w:t>-201</w:t>
      </w:r>
      <w:r w:rsidR="00967D59">
        <w:rPr>
          <w:rFonts w:ascii="Times New Roman" w:hAnsi="Times New Roman"/>
          <w:sz w:val="24"/>
          <w:szCs w:val="24"/>
        </w:rPr>
        <w:t>9</w:t>
      </w:r>
      <w:r w:rsidRPr="00317E27">
        <w:rPr>
          <w:rFonts w:ascii="Times New Roman" w:hAnsi="Times New Roman"/>
          <w:sz w:val="24"/>
          <w:szCs w:val="24"/>
        </w:rPr>
        <w:t xml:space="preserve">”, </w:t>
      </w:r>
      <w:r w:rsidR="00967D59">
        <w:rPr>
          <w:rFonts w:ascii="Times New Roman" w:hAnsi="Times New Roman"/>
          <w:sz w:val="24"/>
          <w:szCs w:val="24"/>
        </w:rPr>
        <w:t>a</w:t>
      </w:r>
      <w:r w:rsidRPr="00317E27">
        <w:rPr>
          <w:rFonts w:ascii="Times New Roman" w:hAnsi="Times New Roman"/>
          <w:sz w:val="24"/>
          <w:szCs w:val="24"/>
        </w:rPr>
        <w:t xml:space="preserve"> fost creată Comisia raională pentru organizarea, monitorizarea şi controlul pregătirii obiectivelor economiei ra</w:t>
      </w:r>
      <w:r w:rsidR="00967D59">
        <w:rPr>
          <w:rFonts w:ascii="Times New Roman" w:hAnsi="Times New Roman"/>
          <w:sz w:val="24"/>
          <w:szCs w:val="24"/>
        </w:rPr>
        <w:t>ionale și sferei sociale pentru</w:t>
      </w:r>
      <w:r w:rsidRPr="00317E27">
        <w:rPr>
          <w:rFonts w:ascii="Times New Roman" w:hAnsi="Times New Roman"/>
          <w:sz w:val="24"/>
          <w:szCs w:val="24"/>
        </w:rPr>
        <w:t xml:space="preserve"> sezonul rece 201</w:t>
      </w:r>
      <w:r w:rsidR="00967D59">
        <w:rPr>
          <w:rFonts w:ascii="Times New Roman" w:hAnsi="Times New Roman"/>
          <w:sz w:val="24"/>
          <w:szCs w:val="24"/>
        </w:rPr>
        <w:t>8</w:t>
      </w:r>
      <w:r w:rsidRPr="00317E27">
        <w:rPr>
          <w:rFonts w:ascii="Times New Roman" w:hAnsi="Times New Roman"/>
          <w:sz w:val="24"/>
          <w:szCs w:val="24"/>
        </w:rPr>
        <w:t>-201</w:t>
      </w:r>
      <w:r w:rsidR="00967D59">
        <w:rPr>
          <w:rFonts w:ascii="Times New Roman" w:hAnsi="Times New Roman"/>
          <w:sz w:val="24"/>
          <w:szCs w:val="24"/>
        </w:rPr>
        <w:t>9</w:t>
      </w:r>
      <w:r w:rsidRPr="00317E27">
        <w:rPr>
          <w:rFonts w:ascii="Times New Roman" w:hAnsi="Times New Roman"/>
          <w:sz w:val="24"/>
          <w:szCs w:val="24"/>
        </w:rPr>
        <w:t>, care pe parcursul anului 201</w:t>
      </w:r>
      <w:r w:rsidR="00967D59">
        <w:rPr>
          <w:rFonts w:ascii="Times New Roman" w:hAnsi="Times New Roman"/>
          <w:sz w:val="24"/>
          <w:szCs w:val="24"/>
        </w:rPr>
        <w:t>8</w:t>
      </w:r>
      <w:r w:rsidRPr="00317E27">
        <w:rPr>
          <w:rFonts w:ascii="Times New Roman" w:hAnsi="Times New Roman"/>
          <w:sz w:val="24"/>
          <w:szCs w:val="24"/>
        </w:rPr>
        <w:t xml:space="preserve"> au fost convocate 3 şedinţe de lucru.</w:t>
      </w:r>
    </w:p>
    <w:p w:rsidR="00436705" w:rsidRPr="00317E27" w:rsidRDefault="00436705" w:rsidP="00436705">
      <w:pPr>
        <w:pStyle w:val="aa"/>
        <w:ind w:firstLine="720"/>
        <w:jc w:val="both"/>
        <w:rPr>
          <w:rFonts w:ascii="Times New Roman" w:hAnsi="Times New Roman"/>
          <w:sz w:val="24"/>
          <w:szCs w:val="24"/>
        </w:rPr>
      </w:pPr>
      <w:r w:rsidRPr="00317E27">
        <w:rPr>
          <w:rFonts w:ascii="Times New Roman" w:hAnsi="Times New Roman"/>
          <w:sz w:val="24"/>
          <w:szCs w:val="24"/>
        </w:rPr>
        <w:t>În scopul asigurării instituţiilor bugetare, sferei sociale şi a populaţiei raionului cu resurse energetice şi servicii comunale de calitate, creării unor condiţii favorabile de activitate  în perioada de toamnă-iarnă 201</w:t>
      </w:r>
      <w:r w:rsidR="00967D59">
        <w:rPr>
          <w:rFonts w:ascii="Times New Roman" w:hAnsi="Times New Roman"/>
          <w:sz w:val="24"/>
          <w:szCs w:val="24"/>
        </w:rPr>
        <w:t>8</w:t>
      </w:r>
      <w:r w:rsidRPr="00317E27">
        <w:rPr>
          <w:rFonts w:ascii="Times New Roman" w:hAnsi="Times New Roman"/>
          <w:sz w:val="24"/>
          <w:szCs w:val="24"/>
        </w:rPr>
        <w:t>-201</w:t>
      </w:r>
      <w:r w:rsidR="00967D59">
        <w:rPr>
          <w:rFonts w:ascii="Times New Roman" w:hAnsi="Times New Roman"/>
          <w:sz w:val="24"/>
          <w:szCs w:val="24"/>
        </w:rPr>
        <w:t>9</w:t>
      </w:r>
      <w:r w:rsidRPr="00317E27">
        <w:rPr>
          <w:rFonts w:ascii="Times New Roman" w:hAnsi="Times New Roman"/>
          <w:sz w:val="24"/>
          <w:szCs w:val="24"/>
        </w:rPr>
        <w:t>, de către şefii direcţiilor/secţiilor Consiliului Raional Cahul, conducătorii instituţiilor au fost elaborate măsuri concrete cu privire la pregătirea din timp pentru buna funcţionare acestora în perioada rece  201</w:t>
      </w:r>
      <w:r w:rsidR="00246E98">
        <w:rPr>
          <w:rFonts w:ascii="Times New Roman" w:hAnsi="Times New Roman"/>
          <w:sz w:val="24"/>
          <w:szCs w:val="24"/>
        </w:rPr>
        <w:t>8</w:t>
      </w:r>
      <w:r w:rsidRPr="00317E27">
        <w:rPr>
          <w:rFonts w:ascii="Times New Roman" w:hAnsi="Times New Roman"/>
          <w:sz w:val="24"/>
          <w:szCs w:val="24"/>
        </w:rPr>
        <w:t>-201</w:t>
      </w:r>
      <w:r w:rsidR="00246E98">
        <w:rPr>
          <w:rFonts w:ascii="Times New Roman" w:hAnsi="Times New Roman"/>
          <w:sz w:val="24"/>
          <w:szCs w:val="24"/>
        </w:rPr>
        <w:t>9, au fost stabiliţi termenii</w:t>
      </w:r>
      <w:r w:rsidRPr="00317E27">
        <w:rPr>
          <w:rFonts w:ascii="Times New Roman" w:hAnsi="Times New Roman"/>
          <w:sz w:val="24"/>
          <w:szCs w:val="24"/>
        </w:rPr>
        <w:t xml:space="preserve"> şi responsabili de executare, care au fost aprobate în cadrul ședinței Consiliului Raional Cahul .</w:t>
      </w:r>
    </w:p>
    <w:p w:rsidR="00967D59" w:rsidRDefault="00967D59" w:rsidP="00436705">
      <w:pPr>
        <w:pStyle w:val="aa"/>
        <w:ind w:firstLine="720"/>
        <w:jc w:val="both"/>
        <w:rPr>
          <w:rFonts w:ascii="Times New Roman" w:hAnsi="Times New Roman"/>
          <w:sz w:val="24"/>
          <w:szCs w:val="24"/>
        </w:rPr>
      </w:pPr>
    </w:p>
    <w:p w:rsidR="00967D59" w:rsidRDefault="00967D59" w:rsidP="00967D59">
      <w:pPr>
        <w:jc w:val="both"/>
        <w:rPr>
          <w:rFonts w:ascii="Times New Roman" w:hAnsi="Times New Roman"/>
          <w:b/>
          <w:sz w:val="24"/>
          <w:szCs w:val="24"/>
        </w:rPr>
      </w:pPr>
    </w:p>
    <w:p w:rsidR="00436705" w:rsidRPr="00317E27" w:rsidRDefault="00436705" w:rsidP="00967D59">
      <w:pPr>
        <w:jc w:val="both"/>
        <w:rPr>
          <w:rFonts w:ascii="Times New Roman" w:hAnsi="Times New Roman"/>
          <w:sz w:val="24"/>
          <w:szCs w:val="24"/>
        </w:rPr>
      </w:pPr>
      <w:r w:rsidRPr="00317E27">
        <w:rPr>
          <w:rFonts w:ascii="Times New Roman" w:hAnsi="Times New Roman"/>
          <w:b/>
          <w:sz w:val="24"/>
          <w:szCs w:val="24"/>
        </w:rPr>
        <w:lastRenderedPageBreak/>
        <w:t xml:space="preserve">Activitatea în domeniul achiziţiilor publice </w:t>
      </w:r>
      <w:r w:rsidRPr="00317E27">
        <w:rPr>
          <w:rFonts w:ascii="Times New Roman" w:hAnsi="Times New Roman"/>
          <w:sz w:val="24"/>
          <w:szCs w:val="24"/>
        </w:rPr>
        <w:t>pe parcursul anului 201</w:t>
      </w:r>
      <w:r w:rsidR="003250F8">
        <w:rPr>
          <w:rFonts w:ascii="Times New Roman" w:hAnsi="Times New Roman"/>
          <w:sz w:val="24"/>
          <w:szCs w:val="24"/>
        </w:rPr>
        <w:t>8</w:t>
      </w:r>
      <w:r w:rsidRPr="00317E27">
        <w:rPr>
          <w:rFonts w:ascii="Times New Roman" w:hAnsi="Times New Roman"/>
          <w:sz w:val="24"/>
          <w:szCs w:val="24"/>
        </w:rPr>
        <w:t xml:space="preserve"> a fost desfășurat în conformitate cu prevederile Legii nr.131 din 03.07.2015  privind achiziţiile publice, precum şi a Hotărîrilor Guvernului Republicii Moldova în domeniul achizițiilor publice. </w:t>
      </w:r>
    </w:p>
    <w:p w:rsidR="00533C71" w:rsidRDefault="00436705" w:rsidP="00533C71">
      <w:pPr>
        <w:ind w:firstLine="720"/>
        <w:jc w:val="both"/>
        <w:rPr>
          <w:rFonts w:ascii="Times New Roman" w:hAnsi="Times New Roman"/>
          <w:sz w:val="24"/>
          <w:szCs w:val="24"/>
          <w:lang w:val="ro-RO"/>
        </w:rPr>
      </w:pPr>
      <w:proofErr w:type="gramStart"/>
      <w:r w:rsidRPr="00317E27">
        <w:rPr>
          <w:rFonts w:ascii="Times New Roman" w:hAnsi="Times New Roman"/>
          <w:sz w:val="24"/>
          <w:szCs w:val="24"/>
        </w:rPr>
        <w:t xml:space="preserve">Conform </w:t>
      </w:r>
      <w:r w:rsidRPr="00317E27">
        <w:rPr>
          <w:rFonts w:ascii="Times New Roman" w:hAnsi="Times New Roman"/>
          <w:sz w:val="24"/>
          <w:szCs w:val="24"/>
          <w:lang w:val="ro-RO"/>
        </w:rPr>
        <w:t xml:space="preserve"> planul</w:t>
      </w:r>
      <w:proofErr w:type="gramEnd"/>
      <w:r w:rsidRPr="00317E27">
        <w:rPr>
          <w:rFonts w:ascii="Times New Roman" w:hAnsi="Times New Roman"/>
          <w:sz w:val="24"/>
          <w:szCs w:val="24"/>
          <w:lang w:val="ro-RO"/>
        </w:rPr>
        <w:t xml:space="preserve"> de finanţare,  la începutul anului a fost întocmit un plan de activitate în domeniul achiziţiilor publice anual şi trimestrial. La finele anului s-a întocmit raportul de monitorizare a contractelor de achiziție publică. A fost întocmită și transmisă la Agenția Achiziții Publice darea de seamă a contractelor de valoare mică. Informațiile privind  desfășurarea  procedurilor de achiziție sunt publicate pe pagina  oficială  a  Consiliului Raional Cahul.</w:t>
      </w:r>
    </w:p>
    <w:p w:rsidR="00903CCB" w:rsidRPr="00053246" w:rsidRDefault="00903CCB" w:rsidP="00533C71">
      <w:pPr>
        <w:ind w:firstLine="720"/>
        <w:jc w:val="both"/>
        <w:rPr>
          <w:rFonts w:ascii="Times New Roman" w:hAnsi="Times New Roman"/>
          <w:sz w:val="24"/>
          <w:szCs w:val="24"/>
        </w:rPr>
      </w:pPr>
      <w:r w:rsidRPr="00053246">
        <w:rPr>
          <w:rFonts w:ascii="Times New Roman" w:hAnsi="Times New Roman"/>
          <w:sz w:val="24"/>
          <w:szCs w:val="24"/>
        </w:rPr>
        <w:t>O atenție sporită se acordată transparenței în cadrul procedurilor de achiziție publică și sporirea nivelului acesteia. În acest context, anunţurile privind procedurile de achiziție au fost publicate în Buletinul Achiziţiilor Publice şi pe site-ul Consiliului Raional Cahul. Tot aici ținem să menționăm faptul că, în vederea realizării Hotărîrea Guvernului a R.Moldova nr.355 din 08.05.2009 „Cu privire la aprobarea Conceptului tehnic al sistemului Informațional Automatizat Registrul de Stat al Achiz</w:t>
      </w:r>
      <w:r w:rsidR="00053246" w:rsidRPr="00053246">
        <w:rPr>
          <w:rFonts w:ascii="Times New Roman" w:hAnsi="Times New Roman"/>
          <w:sz w:val="24"/>
          <w:szCs w:val="24"/>
        </w:rPr>
        <w:t>ițiilor publice” din 17.10.2016 majoritatea procedurilor</w:t>
      </w:r>
      <w:r w:rsidRPr="00053246">
        <w:rPr>
          <w:rFonts w:ascii="Times New Roman" w:hAnsi="Times New Roman"/>
          <w:sz w:val="24"/>
          <w:szCs w:val="24"/>
        </w:rPr>
        <w:t xml:space="preserve"> de achiziții publice</w:t>
      </w:r>
      <w:r w:rsidR="00053246" w:rsidRPr="00053246">
        <w:rPr>
          <w:rFonts w:ascii="Times New Roman" w:hAnsi="Times New Roman"/>
          <w:sz w:val="24"/>
          <w:szCs w:val="24"/>
        </w:rPr>
        <w:t xml:space="preserve">- </w:t>
      </w:r>
      <w:r w:rsidRPr="00053246">
        <w:rPr>
          <w:rFonts w:ascii="Times New Roman" w:hAnsi="Times New Roman"/>
          <w:sz w:val="24"/>
          <w:szCs w:val="24"/>
        </w:rPr>
        <w:t xml:space="preserve"> Licitațiile publice și Cererea Ofertelor de Prețuri </w:t>
      </w:r>
      <w:r w:rsidR="00053246" w:rsidRPr="00053246">
        <w:rPr>
          <w:rFonts w:ascii="Times New Roman" w:hAnsi="Times New Roman"/>
          <w:sz w:val="24"/>
          <w:szCs w:val="24"/>
        </w:rPr>
        <w:t>se organizează</w:t>
      </w:r>
      <w:r w:rsidRPr="00053246">
        <w:rPr>
          <w:rFonts w:ascii="Times New Roman" w:hAnsi="Times New Roman"/>
          <w:sz w:val="24"/>
          <w:szCs w:val="24"/>
        </w:rPr>
        <w:t xml:space="preserve"> prin intermediul SIA RSAP ceea ce înseamnă că autoritatea contractantă asigură publicitatea, transparența și accesul tuturor operatorilor economici interesați la procedurile de achiziție</w:t>
      </w:r>
      <w:r w:rsidR="00053246" w:rsidRPr="00053246">
        <w:rPr>
          <w:rFonts w:ascii="Times New Roman" w:hAnsi="Times New Roman"/>
          <w:sz w:val="24"/>
          <w:szCs w:val="24"/>
        </w:rPr>
        <w:t>.</w:t>
      </w:r>
    </w:p>
    <w:p w:rsidR="00903CCB" w:rsidRPr="00533C71" w:rsidRDefault="00903CCB" w:rsidP="00903CCB">
      <w:pPr>
        <w:pStyle w:val="aa"/>
        <w:spacing w:line="252" w:lineRule="auto"/>
        <w:jc w:val="both"/>
        <w:rPr>
          <w:rFonts w:ascii="Times New Roman" w:hAnsi="Times New Roman"/>
          <w:sz w:val="24"/>
          <w:szCs w:val="24"/>
          <w:lang w:val="ro-RO"/>
        </w:rPr>
      </w:pPr>
      <w:r w:rsidRPr="00533C71">
        <w:rPr>
          <w:rFonts w:ascii="Times New Roman" w:hAnsi="Times New Roman"/>
          <w:sz w:val="24"/>
          <w:szCs w:val="24"/>
          <w:lang w:val="ro-RO"/>
        </w:rPr>
        <w:t>Numărul de contracte încheiate în urma petrecerii procedurilor de achiziţii aprobat pentru  anul 2018 a alcătuit 171</w:t>
      </w:r>
      <w:r w:rsidR="00053246" w:rsidRPr="00533C71">
        <w:rPr>
          <w:rFonts w:ascii="Times New Roman" w:hAnsi="Times New Roman"/>
          <w:sz w:val="24"/>
          <w:szCs w:val="24"/>
          <w:lang w:val="ro-RO"/>
        </w:rPr>
        <w:t xml:space="preserve"> de contracte, </w:t>
      </w:r>
      <w:r w:rsidRPr="00533C71">
        <w:rPr>
          <w:rFonts w:ascii="Times New Roman" w:hAnsi="Times New Roman"/>
          <w:sz w:val="24"/>
          <w:szCs w:val="24"/>
          <w:lang w:val="ro-RO"/>
        </w:rPr>
        <w:t>ceea ce constituie 136.8% din total planificat, din care:</w:t>
      </w:r>
      <w:r w:rsidR="00533C71" w:rsidRPr="00533C71">
        <w:rPr>
          <w:rFonts w:ascii="Times New Roman" w:hAnsi="Times New Roman"/>
          <w:sz w:val="24"/>
          <w:szCs w:val="24"/>
          <w:lang w:val="ro-RO"/>
        </w:rPr>
        <w:t xml:space="preserve">  licitaţii publice</w:t>
      </w:r>
      <w:r w:rsidRPr="00533C71">
        <w:rPr>
          <w:rFonts w:ascii="Times New Roman" w:hAnsi="Times New Roman"/>
          <w:sz w:val="24"/>
          <w:szCs w:val="24"/>
          <w:lang w:val="ro-RO"/>
        </w:rPr>
        <w:t xml:space="preserve"> – 10 contracte;</w:t>
      </w:r>
      <w:r w:rsidR="00533C71" w:rsidRPr="00533C71">
        <w:rPr>
          <w:rFonts w:ascii="Times New Roman" w:eastAsia="Times New Roman" w:hAnsi="Times New Roman"/>
          <w:bCs/>
          <w:color w:val="000000"/>
          <w:sz w:val="24"/>
          <w:szCs w:val="24"/>
        </w:rPr>
        <w:t xml:space="preserve"> concursuri prin cererea ofertelor de preţ – 17 contracte, </w:t>
      </w:r>
      <w:r w:rsidRPr="00533C71">
        <w:rPr>
          <w:rFonts w:ascii="Times New Roman" w:hAnsi="Times New Roman"/>
          <w:sz w:val="24"/>
          <w:szCs w:val="24"/>
          <w:lang w:val="ro-RO"/>
        </w:rPr>
        <w:t>COP– 17 contracte;</w:t>
      </w:r>
      <w:r w:rsidR="00533C71" w:rsidRPr="00533C71">
        <w:rPr>
          <w:rFonts w:ascii="Times New Roman" w:eastAsia="Times New Roman" w:hAnsi="Times New Roman"/>
          <w:bCs/>
          <w:color w:val="000000"/>
          <w:sz w:val="24"/>
          <w:szCs w:val="24"/>
        </w:rPr>
        <w:t xml:space="preserve"> proceduri de negociere directe – 3 contracte şi c</w:t>
      </w:r>
      <w:r w:rsidRPr="00533C71">
        <w:rPr>
          <w:rFonts w:ascii="Times New Roman" w:hAnsi="Times New Roman"/>
          <w:sz w:val="24"/>
          <w:szCs w:val="24"/>
          <w:lang w:val="ro-RO"/>
        </w:rPr>
        <w:t>ontracte de mică valoare – 141 contracte</w:t>
      </w:r>
      <w:r w:rsidR="00533C71" w:rsidRPr="00533C71">
        <w:rPr>
          <w:rFonts w:ascii="Times New Roman" w:hAnsi="Times New Roman"/>
          <w:sz w:val="24"/>
          <w:szCs w:val="24"/>
          <w:lang w:val="ro-RO"/>
        </w:rPr>
        <w:t xml:space="preserve">. </w:t>
      </w:r>
      <w:r w:rsidRPr="00533C71">
        <w:rPr>
          <w:rFonts w:ascii="Times New Roman" w:hAnsi="Times New Roman"/>
          <w:sz w:val="24"/>
          <w:szCs w:val="24"/>
          <w:lang w:val="ro-RO"/>
        </w:rPr>
        <w:t xml:space="preserve"> Supra îndeplinirea pe  anul 2018 se explică prin faptul că în urma petrecerilor procedurilor de ahiziţii au fost desemnaţi mai mulţi cîştigători, ce a dus la întocmirea a mai multor contracte (la o singură procedură) decît planificate.</w:t>
      </w:r>
      <w:r w:rsidR="00062641">
        <w:rPr>
          <w:rFonts w:ascii="Times New Roman" w:hAnsi="Times New Roman"/>
          <w:sz w:val="24"/>
          <w:szCs w:val="24"/>
          <w:lang w:val="ro-RO"/>
        </w:rPr>
        <w:t xml:space="preserve"> Valoarea achiziţiilor planificate pentru ahul 2018 a alcătuit suma de 23312,2 mii lei, din care s-au realizat în sumă de 22013,2 mii lei ceea ce constituie 94,4% din total planificat.</w:t>
      </w:r>
    </w:p>
    <w:p w:rsidR="00062641" w:rsidRDefault="00533C71" w:rsidP="00533C71">
      <w:pPr>
        <w:jc w:val="both"/>
        <w:rPr>
          <w:rFonts w:ascii="Times New Roman" w:hAnsi="Times New Roman"/>
          <w:sz w:val="24"/>
          <w:szCs w:val="24"/>
        </w:rPr>
      </w:pPr>
      <w:r w:rsidRPr="00533C71">
        <w:rPr>
          <w:rFonts w:ascii="Times New Roman" w:hAnsi="Times New Roman"/>
          <w:sz w:val="24"/>
          <w:szCs w:val="24"/>
        </w:rPr>
        <w:t>L</w:t>
      </w:r>
      <w:r w:rsidR="00864A51" w:rsidRPr="00533C71">
        <w:rPr>
          <w:rFonts w:ascii="Times New Roman" w:hAnsi="Times New Roman"/>
          <w:sz w:val="24"/>
          <w:szCs w:val="24"/>
        </w:rPr>
        <w:t xml:space="preserve">egislația în domeniul achizițiilor publice </w:t>
      </w:r>
      <w:proofErr w:type="gramStart"/>
      <w:r w:rsidRPr="00533C71">
        <w:rPr>
          <w:rFonts w:ascii="Times New Roman" w:hAnsi="Times New Roman"/>
          <w:sz w:val="24"/>
          <w:szCs w:val="24"/>
        </w:rPr>
        <w:t>a</w:t>
      </w:r>
      <w:proofErr w:type="gramEnd"/>
      <w:r w:rsidRPr="00533C71">
        <w:rPr>
          <w:rFonts w:ascii="Times New Roman" w:hAnsi="Times New Roman"/>
          <w:sz w:val="24"/>
          <w:szCs w:val="24"/>
        </w:rPr>
        <w:t xml:space="preserve"> întrodus </w:t>
      </w:r>
      <w:r w:rsidR="00864A51" w:rsidRPr="00533C71">
        <w:rPr>
          <w:rFonts w:ascii="Times New Roman" w:hAnsi="Times New Roman"/>
          <w:sz w:val="24"/>
          <w:szCs w:val="24"/>
        </w:rPr>
        <w:t>o nouă atribuție pentru grupul de lucru – monitorizarea contractelor de achiziții publice. În acest sens s-</w:t>
      </w:r>
      <w:proofErr w:type="gramStart"/>
      <w:r w:rsidR="00864A51" w:rsidRPr="00533C71">
        <w:rPr>
          <w:rFonts w:ascii="Times New Roman" w:hAnsi="Times New Roman"/>
          <w:sz w:val="24"/>
          <w:szCs w:val="24"/>
        </w:rPr>
        <w:t>a</w:t>
      </w:r>
      <w:proofErr w:type="gramEnd"/>
      <w:r w:rsidR="00864A51" w:rsidRPr="00533C71">
        <w:rPr>
          <w:rFonts w:ascii="Times New Roman" w:hAnsi="Times New Roman"/>
          <w:sz w:val="24"/>
          <w:szCs w:val="24"/>
        </w:rPr>
        <w:t xml:space="preserve"> întocmit raportul de monitorizare pentru contractele de achiziție și a fost publicat pe pagina web a Consiliului Raional Cahul. </w:t>
      </w:r>
      <w:proofErr w:type="gramStart"/>
      <w:r w:rsidR="00864A51" w:rsidRPr="00533C71">
        <w:rPr>
          <w:rFonts w:ascii="Times New Roman" w:hAnsi="Times New Roman"/>
          <w:sz w:val="24"/>
          <w:szCs w:val="24"/>
        </w:rPr>
        <w:t>În rezultatul monitorizării s-a constatat că contractele s-au executat în termen și calitativ.</w:t>
      </w:r>
      <w:proofErr w:type="gramEnd"/>
      <w:r w:rsidR="00864A51" w:rsidRPr="00533C71">
        <w:rPr>
          <w:rFonts w:ascii="Times New Roman" w:hAnsi="Times New Roman"/>
          <w:sz w:val="24"/>
          <w:szCs w:val="24"/>
        </w:rPr>
        <w:t xml:space="preserve"> </w:t>
      </w:r>
    </w:p>
    <w:p w:rsidR="00864A51" w:rsidRPr="00062641" w:rsidRDefault="00864A51" w:rsidP="00062641">
      <w:pPr>
        <w:pStyle w:val="aa"/>
        <w:jc w:val="both"/>
        <w:rPr>
          <w:rFonts w:ascii="Times New Roman" w:hAnsi="Times New Roman"/>
          <w:sz w:val="24"/>
          <w:szCs w:val="24"/>
        </w:rPr>
      </w:pPr>
      <w:r w:rsidRPr="00062641">
        <w:rPr>
          <w:rFonts w:ascii="Times New Roman" w:hAnsi="Times New Roman"/>
          <w:sz w:val="24"/>
          <w:szCs w:val="24"/>
        </w:rPr>
        <w:t xml:space="preserve">În vederea sporirii nivelului profesional, precum și avînd în vedere modificările legislative din domeniul achizițiilor publice, în perioada raportării am organizat pentru </w:t>
      </w:r>
      <w:r w:rsidR="00533C71" w:rsidRPr="00062641">
        <w:rPr>
          <w:rFonts w:ascii="Times New Roman" w:hAnsi="Times New Roman"/>
          <w:sz w:val="24"/>
          <w:szCs w:val="24"/>
          <w:shd w:val="clear" w:color="auto" w:fill="FFFFFF"/>
        </w:rPr>
        <w:t>persoanele responsabile de efectuarea procedurilor de achiziții publice din cadrul autorităților contractante c</w:t>
      </w:r>
      <w:r w:rsidR="00533C71" w:rsidRPr="00062641">
        <w:rPr>
          <w:rFonts w:ascii="Times New Roman" w:hAnsi="Times New Roman"/>
          <w:sz w:val="24"/>
          <w:szCs w:val="24"/>
        </w:rPr>
        <w:t>ursuri de instruire ci genericul “Registrul de stat al achiziţiilor publuce M-Tender”</w:t>
      </w:r>
      <w:r w:rsidR="00062641">
        <w:rPr>
          <w:rFonts w:ascii="Times New Roman" w:hAnsi="Times New Roman"/>
          <w:sz w:val="24"/>
          <w:szCs w:val="24"/>
        </w:rPr>
        <w:t>.</w:t>
      </w:r>
    </w:p>
    <w:p w:rsidR="00436705" w:rsidRPr="00317E27" w:rsidRDefault="00436705" w:rsidP="00062641">
      <w:pPr>
        <w:jc w:val="both"/>
        <w:rPr>
          <w:rFonts w:ascii="Times New Roman" w:hAnsi="Times New Roman"/>
          <w:sz w:val="24"/>
          <w:szCs w:val="24"/>
          <w:lang w:val="ro-RO"/>
        </w:rPr>
      </w:pPr>
      <w:r w:rsidRPr="00317E27">
        <w:rPr>
          <w:rFonts w:ascii="Times New Roman" w:eastAsia="Times New Roman" w:hAnsi="Times New Roman"/>
          <w:bCs/>
          <w:color w:val="000000"/>
          <w:sz w:val="24"/>
          <w:szCs w:val="24"/>
        </w:rPr>
        <w:t>Permanent s-</w:t>
      </w:r>
      <w:proofErr w:type="gramStart"/>
      <w:r w:rsidRPr="00317E27">
        <w:rPr>
          <w:rFonts w:ascii="Times New Roman" w:eastAsia="Times New Roman" w:hAnsi="Times New Roman"/>
          <w:bCs/>
          <w:color w:val="000000"/>
          <w:sz w:val="24"/>
          <w:szCs w:val="24"/>
        </w:rPr>
        <w:t>a</w:t>
      </w:r>
      <w:proofErr w:type="gramEnd"/>
      <w:r w:rsidRPr="00317E27">
        <w:rPr>
          <w:rFonts w:ascii="Times New Roman" w:eastAsia="Times New Roman" w:hAnsi="Times New Roman"/>
          <w:bCs/>
          <w:color w:val="000000"/>
          <w:sz w:val="24"/>
          <w:szCs w:val="24"/>
        </w:rPr>
        <w:t xml:space="preserve"> acordat ajutor metodologic autorităţilor contractante, necesar desfăşurării corespunzătoare a procedurilor de achiziţie.</w:t>
      </w:r>
    </w:p>
    <w:p w:rsidR="00436705" w:rsidRPr="00913CFC" w:rsidRDefault="00436705" w:rsidP="00913CFC">
      <w:pPr>
        <w:pStyle w:val="aa"/>
        <w:jc w:val="both"/>
        <w:rPr>
          <w:rFonts w:ascii="Times New Roman" w:hAnsi="Times New Roman"/>
          <w:sz w:val="24"/>
          <w:szCs w:val="24"/>
          <w:lang w:val="ro-MO"/>
        </w:rPr>
      </w:pPr>
      <w:r w:rsidRPr="00913CFC">
        <w:rPr>
          <w:rFonts w:ascii="Times New Roman" w:hAnsi="Times New Roman"/>
          <w:b/>
          <w:sz w:val="24"/>
          <w:szCs w:val="24"/>
          <w:lang w:val="ro-RO"/>
        </w:rPr>
        <w:t xml:space="preserve"> În scopul a</w:t>
      </w:r>
      <w:r w:rsidRPr="00913CFC">
        <w:rPr>
          <w:rFonts w:ascii="Times New Roman" w:hAnsi="Times New Roman"/>
          <w:b/>
          <w:sz w:val="24"/>
          <w:szCs w:val="24"/>
          <w:lang w:val="ro-MO"/>
        </w:rPr>
        <w:t>sigurarea administrării şi deetatizării proprietăţii publice</w:t>
      </w:r>
      <w:r w:rsidRPr="00913CFC">
        <w:rPr>
          <w:rFonts w:ascii="Times New Roman" w:hAnsi="Times New Roman"/>
          <w:sz w:val="24"/>
          <w:szCs w:val="24"/>
          <w:lang w:val="ro-MO"/>
        </w:rPr>
        <w:t xml:space="preserve">  au fost organizate  licitaţii  „cu strigare” şi  „cu reducere”,  se întreprind măsuri întru realizarea programelor de privatizare, desfăşurarea procesului de privatizare a obiectelor patrimoniului public, ţinerea evidenţei patrimoniului public, inclusiv în societăţile economice cu participarea patrimoniului public (acţiuni, cote-părţi).</w:t>
      </w:r>
    </w:p>
    <w:p w:rsidR="00760596" w:rsidRPr="00913CFC" w:rsidRDefault="00062641" w:rsidP="00913CFC">
      <w:pPr>
        <w:pStyle w:val="aa"/>
        <w:jc w:val="both"/>
        <w:rPr>
          <w:rFonts w:ascii="Times New Roman" w:hAnsi="Times New Roman"/>
          <w:sz w:val="24"/>
          <w:szCs w:val="24"/>
          <w:lang w:val="ro-RO"/>
        </w:rPr>
      </w:pPr>
      <w:r w:rsidRPr="00913CFC">
        <w:rPr>
          <w:rFonts w:ascii="Times New Roman" w:hAnsi="Times New Roman"/>
          <w:sz w:val="24"/>
          <w:szCs w:val="24"/>
          <w:lang w:val="ro-RO"/>
        </w:rPr>
        <w:t>Au fost petrecute 4</w:t>
      </w:r>
      <w:r w:rsidR="00436705" w:rsidRPr="00913CFC">
        <w:rPr>
          <w:rFonts w:ascii="Times New Roman" w:hAnsi="Times New Roman"/>
          <w:sz w:val="24"/>
          <w:szCs w:val="24"/>
          <w:lang w:val="ro-RO"/>
        </w:rPr>
        <w:t xml:space="preserve"> şedinţe  a Comisiei de privatizare şi  deetatizare a proprietăţii publice a Consiliului Raional Cahul, la care a fost examinată activitatea financiar-e</w:t>
      </w:r>
      <w:r w:rsidRPr="00913CFC">
        <w:rPr>
          <w:rFonts w:ascii="Times New Roman" w:hAnsi="Times New Roman"/>
          <w:sz w:val="24"/>
          <w:szCs w:val="24"/>
          <w:lang w:val="ro-RO"/>
        </w:rPr>
        <w:t>conomică a „Centrul</w:t>
      </w:r>
      <w:r w:rsidR="00436705" w:rsidRPr="00913CFC">
        <w:rPr>
          <w:rFonts w:ascii="Times New Roman" w:hAnsi="Times New Roman"/>
          <w:sz w:val="24"/>
          <w:szCs w:val="24"/>
          <w:lang w:val="ro-RO"/>
        </w:rPr>
        <w:t xml:space="preserve"> de Instruire Continuă Cahul” S.A.</w:t>
      </w:r>
      <w:r w:rsidR="00760596" w:rsidRPr="00913CFC">
        <w:rPr>
          <w:rFonts w:ascii="Times New Roman" w:hAnsi="Times New Roman"/>
          <w:sz w:val="24"/>
          <w:szCs w:val="24"/>
          <w:lang w:val="ro-RO"/>
        </w:rPr>
        <w:t xml:space="preserve"> pentru perioada anilor 2011-</w:t>
      </w:r>
      <w:r w:rsidR="00436705" w:rsidRPr="00913CFC">
        <w:rPr>
          <w:rFonts w:ascii="Times New Roman" w:hAnsi="Times New Roman"/>
          <w:sz w:val="24"/>
          <w:szCs w:val="24"/>
          <w:lang w:val="ro-RO"/>
        </w:rPr>
        <w:t xml:space="preserve"> 201</w:t>
      </w:r>
      <w:r w:rsidRPr="00913CFC">
        <w:rPr>
          <w:rFonts w:ascii="Times New Roman" w:hAnsi="Times New Roman"/>
          <w:sz w:val="24"/>
          <w:szCs w:val="24"/>
          <w:lang w:val="ro-RO"/>
        </w:rPr>
        <w:t>8</w:t>
      </w:r>
      <w:r w:rsidR="00913CFC" w:rsidRPr="00913CFC">
        <w:rPr>
          <w:rFonts w:ascii="Times New Roman" w:hAnsi="Times New Roman"/>
          <w:sz w:val="24"/>
          <w:szCs w:val="24"/>
          <w:lang w:val="ro-RO"/>
        </w:rPr>
        <w:t>.</w:t>
      </w:r>
      <w:r w:rsidR="00436705" w:rsidRPr="00913CFC">
        <w:rPr>
          <w:rFonts w:ascii="Times New Roman" w:hAnsi="Times New Roman"/>
          <w:sz w:val="24"/>
          <w:szCs w:val="24"/>
          <w:lang w:val="ro-RO"/>
        </w:rPr>
        <w:t xml:space="preserve"> </w:t>
      </w:r>
    </w:p>
    <w:p w:rsidR="00436705" w:rsidRPr="00317E27" w:rsidRDefault="00436705" w:rsidP="004D07B2">
      <w:pPr>
        <w:pStyle w:val="aa"/>
        <w:ind w:firstLine="708"/>
        <w:jc w:val="both"/>
        <w:rPr>
          <w:rFonts w:ascii="Times New Roman" w:hAnsi="Times New Roman"/>
          <w:sz w:val="24"/>
          <w:szCs w:val="24"/>
          <w:lang w:val="ro-RO"/>
        </w:rPr>
      </w:pPr>
      <w:r w:rsidRPr="00317E27">
        <w:rPr>
          <w:rFonts w:ascii="Times New Roman" w:hAnsi="Times New Roman"/>
          <w:sz w:val="24"/>
          <w:szCs w:val="24"/>
          <w:lang w:val="ro-RO"/>
        </w:rPr>
        <w:lastRenderedPageBreak/>
        <w:t>În urma prelucrării informaţiilor prezentate de către întreprinderile municipale din raion, Direcţia Generală Finanţe, s-a p</w:t>
      </w:r>
      <w:r w:rsidR="00913CFC">
        <w:rPr>
          <w:rFonts w:ascii="Times New Roman" w:hAnsi="Times New Roman"/>
          <w:sz w:val="24"/>
          <w:szCs w:val="24"/>
          <w:lang w:val="ro-RO"/>
        </w:rPr>
        <w:t>rezentat Agenţiei Proprietăţii P</w:t>
      </w:r>
      <w:r w:rsidRPr="00317E27">
        <w:rPr>
          <w:rFonts w:ascii="Times New Roman" w:hAnsi="Times New Roman"/>
          <w:sz w:val="24"/>
          <w:szCs w:val="24"/>
          <w:lang w:val="ro-RO"/>
        </w:rPr>
        <w:t xml:space="preserve">ublice a Ministerului Economiei dările de seamă conform anexelor 8,9,10 la Regulamentul cu privire la Registrul patrimoniului public.      </w:t>
      </w:r>
    </w:p>
    <w:p w:rsidR="00436705" w:rsidRPr="000B742C" w:rsidRDefault="00436705" w:rsidP="000B742C">
      <w:pPr>
        <w:pStyle w:val="aa"/>
        <w:jc w:val="both"/>
        <w:rPr>
          <w:rFonts w:ascii="Times New Roman" w:hAnsi="Times New Roman"/>
          <w:sz w:val="24"/>
          <w:szCs w:val="24"/>
          <w:lang w:val="ro-RO"/>
        </w:rPr>
      </w:pPr>
      <w:r w:rsidRPr="00317E27">
        <w:rPr>
          <w:rFonts w:ascii="Times New Roman" w:hAnsi="Times New Roman"/>
          <w:sz w:val="24"/>
          <w:szCs w:val="24"/>
          <w:lang w:val="ro-RO"/>
        </w:rPr>
        <w:t xml:space="preserve">                 </w:t>
      </w:r>
      <w:r w:rsidRPr="000B742C">
        <w:rPr>
          <w:rFonts w:ascii="Times New Roman" w:hAnsi="Times New Roman"/>
          <w:sz w:val="24"/>
          <w:szCs w:val="24"/>
          <w:lang w:val="ro-RO"/>
        </w:rPr>
        <w:t>Conform prevederilor Hotărîrii Guvernului R.Moldova nr.136 din 10.02.2009 cu privire la aprobarea Regulamentului privind licitaţiile cu strigare şi cu reducere</w:t>
      </w:r>
      <w:r w:rsidR="009A03E2" w:rsidRPr="000B742C">
        <w:rPr>
          <w:rFonts w:ascii="Times New Roman" w:hAnsi="Times New Roman"/>
          <w:sz w:val="24"/>
          <w:szCs w:val="24"/>
          <w:lang w:val="ro-RO"/>
        </w:rPr>
        <w:t xml:space="preserve"> şi întru executarea deciziilor CRC nr.03/06-IV din 28.06.2018 privind transmiterea în locaţiune a unor spaţii neutilizate din bunurile CR Cahul, pe un termen de 5 ani, fără drept de privatizare şi dare în subarendă, pentru ce s-au </w:t>
      </w:r>
      <w:r w:rsidRPr="000B742C">
        <w:rPr>
          <w:rFonts w:ascii="Times New Roman" w:hAnsi="Times New Roman"/>
          <w:sz w:val="24"/>
          <w:szCs w:val="24"/>
          <w:lang w:val="ro-RO"/>
        </w:rPr>
        <w:t>petrecut 3</w:t>
      </w:r>
      <w:r w:rsidR="000B742C" w:rsidRPr="000B742C">
        <w:rPr>
          <w:rFonts w:ascii="Times New Roman" w:hAnsi="Times New Roman"/>
          <w:sz w:val="24"/>
          <w:szCs w:val="24"/>
          <w:lang w:val="ro-RO"/>
        </w:rPr>
        <w:t xml:space="preserve"> </w:t>
      </w:r>
      <w:r w:rsidRPr="000B742C">
        <w:rPr>
          <w:rFonts w:ascii="Times New Roman" w:hAnsi="Times New Roman"/>
          <w:sz w:val="24"/>
          <w:szCs w:val="24"/>
          <w:lang w:val="ro-RO"/>
        </w:rPr>
        <w:t xml:space="preserve">licitaţii </w:t>
      </w:r>
      <w:r w:rsidR="009A03E2" w:rsidRPr="000B742C">
        <w:rPr>
          <w:rFonts w:ascii="Times New Roman" w:hAnsi="Times New Roman"/>
          <w:sz w:val="24"/>
          <w:szCs w:val="24"/>
          <w:lang w:val="ro-RO"/>
        </w:rPr>
        <w:t>„</w:t>
      </w:r>
      <w:r w:rsidRPr="000B742C">
        <w:rPr>
          <w:rFonts w:ascii="Times New Roman" w:hAnsi="Times New Roman"/>
          <w:sz w:val="24"/>
          <w:szCs w:val="24"/>
          <w:lang w:val="ro-RO"/>
        </w:rPr>
        <w:t>cu strigare</w:t>
      </w:r>
      <w:r w:rsidR="009A03E2" w:rsidRPr="000B742C">
        <w:rPr>
          <w:rFonts w:ascii="Times New Roman" w:hAnsi="Times New Roman"/>
          <w:sz w:val="24"/>
          <w:szCs w:val="24"/>
          <w:lang w:val="ro-RO"/>
        </w:rPr>
        <w:t>”</w:t>
      </w:r>
      <w:r w:rsidRPr="000B742C">
        <w:rPr>
          <w:rFonts w:ascii="Times New Roman" w:hAnsi="Times New Roman"/>
          <w:sz w:val="24"/>
          <w:szCs w:val="24"/>
          <w:lang w:val="ro-RO"/>
        </w:rPr>
        <w:t xml:space="preserve"> în rezultatul cărora </w:t>
      </w:r>
      <w:r w:rsidR="000B742C" w:rsidRPr="000B742C">
        <w:rPr>
          <w:rFonts w:ascii="Times New Roman" w:hAnsi="Times New Roman"/>
          <w:sz w:val="24"/>
          <w:szCs w:val="24"/>
          <w:lang w:val="ro-RO"/>
        </w:rPr>
        <w:t>dreptul de locaţiune s-a licitat numai pentru Lotul nr.1- construcție, nr.cadastral 1701116.308.01, S=95,7 m.p., or.Cahul, str.Ioan Vodă cel Cumplit 66.  La loturile care s-au declarat nule s-au petrecut repetat licitaţii, însă şi acestea au fost declrate nule in lipsa participanţilor.</w:t>
      </w:r>
    </w:p>
    <w:p w:rsidR="00436705" w:rsidRPr="00317E27" w:rsidRDefault="00436705" w:rsidP="00436705">
      <w:pPr>
        <w:pStyle w:val="aa"/>
        <w:jc w:val="both"/>
        <w:rPr>
          <w:rFonts w:ascii="Times New Roman" w:hAnsi="Times New Roman"/>
          <w:sz w:val="24"/>
          <w:szCs w:val="24"/>
          <w:lang w:val="ro-RO"/>
        </w:rPr>
      </w:pPr>
      <w:r w:rsidRPr="00317E27">
        <w:rPr>
          <w:rFonts w:ascii="Times New Roman" w:hAnsi="Times New Roman"/>
          <w:sz w:val="24"/>
          <w:szCs w:val="24"/>
          <w:lang w:val="ro-RO"/>
        </w:rPr>
        <w:t xml:space="preserve">   Pe perioada anului 201</w:t>
      </w:r>
      <w:r w:rsidR="000B742C">
        <w:rPr>
          <w:rFonts w:ascii="Times New Roman" w:hAnsi="Times New Roman"/>
          <w:sz w:val="24"/>
          <w:szCs w:val="24"/>
          <w:lang w:val="ro-RO"/>
        </w:rPr>
        <w:t>8</w:t>
      </w:r>
      <w:r w:rsidRPr="00317E27">
        <w:rPr>
          <w:rFonts w:ascii="Times New Roman" w:hAnsi="Times New Roman"/>
          <w:sz w:val="24"/>
          <w:szCs w:val="24"/>
          <w:lang w:val="ro-RO"/>
        </w:rPr>
        <w:t xml:space="preserve"> s-a participat la </w:t>
      </w:r>
      <w:r w:rsidR="000B742C">
        <w:rPr>
          <w:rFonts w:ascii="Times New Roman" w:hAnsi="Times New Roman"/>
          <w:sz w:val="24"/>
          <w:szCs w:val="24"/>
          <w:lang w:val="ro-RO"/>
        </w:rPr>
        <w:t>28</w:t>
      </w:r>
      <w:r w:rsidRPr="00317E27">
        <w:rPr>
          <w:rFonts w:ascii="Times New Roman" w:hAnsi="Times New Roman"/>
          <w:sz w:val="24"/>
          <w:szCs w:val="24"/>
          <w:lang w:val="ro-RO"/>
        </w:rPr>
        <w:t xml:space="preserve"> licitaţii „cu strigare” petrecute de către APL I.</w:t>
      </w:r>
    </w:p>
    <w:p w:rsidR="00344D11" w:rsidRDefault="00344D11" w:rsidP="00436705">
      <w:pPr>
        <w:pStyle w:val="ac"/>
        <w:ind w:left="0"/>
        <w:jc w:val="both"/>
        <w:rPr>
          <w:rFonts w:ascii="Times New Roman" w:hAnsi="Times New Roman"/>
          <w:b/>
          <w:sz w:val="24"/>
          <w:szCs w:val="24"/>
          <w:u w:val="single"/>
          <w:lang w:val="ro-RO"/>
        </w:rPr>
      </w:pPr>
    </w:p>
    <w:p w:rsidR="00436705" w:rsidRPr="00317E27" w:rsidRDefault="00436705" w:rsidP="00436705">
      <w:pPr>
        <w:pStyle w:val="ac"/>
        <w:ind w:left="0"/>
        <w:jc w:val="both"/>
        <w:rPr>
          <w:rFonts w:ascii="Times New Roman" w:hAnsi="Times New Roman"/>
          <w:sz w:val="24"/>
          <w:szCs w:val="24"/>
          <w:u w:val="single"/>
          <w:lang w:val="ro-RO"/>
        </w:rPr>
      </w:pPr>
      <w:r w:rsidRPr="00317E27">
        <w:rPr>
          <w:rFonts w:ascii="Times New Roman" w:hAnsi="Times New Roman"/>
          <w:b/>
          <w:sz w:val="24"/>
          <w:szCs w:val="24"/>
          <w:u w:val="single"/>
          <w:lang w:val="ro-RO"/>
        </w:rPr>
        <w:t>Privatizarea fondului de locuinţe.</w:t>
      </w:r>
    </w:p>
    <w:p w:rsidR="00436705" w:rsidRPr="000B742C" w:rsidRDefault="00436705" w:rsidP="000B742C">
      <w:pPr>
        <w:pStyle w:val="aa"/>
        <w:jc w:val="both"/>
        <w:rPr>
          <w:rFonts w:ascii="Times New Roman" w:hAnsi="Times New Roman"/>
          <w:sz w:val="24"/>
          <w:szCs w:val="24"/>
          <w:lang w:val="ro-RO"/>
        </w:rPr>
      </w:pPr>
      <w:r w:rsidRPr="000B742C">
        <w:rPr>
          <w:rFonts w:ascii="Times New Roman" w:hAnsi="Times New Roman"/>
          <w:sz w:val="24"/>
          <w:szCs w:val="24"/>
          <w:lang w:val="ro-RO"/>
        </w:rPr>
        <w:t xml:space="preserve">      În perioada anului 201</w:t>
      </w:r>
      <w:r w:rsidR="000B742C" w:rsidRPr="000B742C">
        <w:rPr>
          <w:rFonts w:ascii="Times New Roman" w:hAnsi="Times New Roman"/>
          <w:sz w:val="24"/>
          <w:szCs w:val="24"/>
          <w:lang w:val="ro-RO"/>
        </w:rPr>
        <w:t>8</w:t>
      </w:r>
      <w:r w:rsidRPr="000B742C">
        <w:rPr>
          <w:rFonts w:ascii="Times New Roman" w:hAnsi="Times New Roman"/>
          <w:sz w:val="24"/>
          <w:szCs w:val="24"/>
          <w:lang w:val="ro-RO"/>
        </w:rPr>
        <w:t xml:space="preserve"> au fost primite şi autentificate 3</w:t>
      </w:r>
      <w:r w:rsidR="000B742C" w:rsidRPr="000B742C">
        <w:rPr>
          <w:rFonts w:ascii="Times New Roman" w:hAnsi="Times New Roman"/>
          <w:sz w:val="24"/>
          <w:szCs w:val="24"/>
          <w:lang w:val="ro-RO"/>
        </w:rPr>
        <w:t>2</w:t>
      </w:r>
      <w:r w:rsidRPr="000B742C">
        <w:rPr>
          <w:rFonts w:ascii="Times New Roman" w:hAnsi="Times New Roman"/>
          <w:sz w:val="24"/>
          <w:szCs w:val="24"/>
          <w:lang w:val="ro-RO"/>
        </w:rPr>
        <w:t xml:space="preserve"> cereri,  cu anexarea documentelor necesare pentru privatizarea locuinţelor, care au fost examinate, în cadrul şedinţelor de lucru a  Comisiei raionale de privatizare a fondului de locuinţe (4 şedinţe) . Deciziile primite de către comisia de privatizare au fost înaintate pentru aprobare la şedinţele Consiliului Raional Cahul.</w:t>
      </w:r>
    </w:p>
    <w:p w:rsidR="00436705" w:rsidRPr="000B742C" w:rsidRDefault="00436705" w:rsidP="000B742C">
      <w:pPr>
        <w:pStyle w:val="aa"/>
        <w:jc w:val="both"/>
        <w:rPr>
          <w:rFonts w:ascii="Times New Roman" w:hAnsi="Times New Roman"/>
          <w:sz w:val="24"/>
          <w:szCs w:val="24"/>
          <w:lang w:val="ro-RO"/>
        </w:rPr>
      </w:pPr>
      <w:r w:rsidRPr="000B742C">
        <w:rPr>
          <w:rFonts w:ascii="Times New Roman" w:hAnsi="Times New Roman"/>
          <w:sz w:val="24"/>
          <w:szCs w:val="24"/>
          <w:lang w:val="ro-RO"/>
        </w:rPr>
        <w:t xml:space="preserve">      În perioada de referinţă au fost eliberate cetăţenilor </w:t>
      </w:r>
      <w:r w:rsidR="000B742C" w:rsidRPr="000B742C">
        <w:rPr>
          <w:rFonts w:ascii="Times New Roman" w:hAnsi="Times New Roman"/>
          <w:sz w:val="24"/>
          <w:szCs w:val="24"/>
          <w:lang w:val="ro-RO"/>
        </w:rPr>
        <w:t>35</w:t>
      </w:r>
      <w:r w:rsidRPr="000B742C">
        <w:rPr>
          <w:rFonts w:ascii="Times New Roman" w:hAnsi="Times New Roman"/>
          <w:sz w:val="24"/>
          <w:szCs w:val="24"/>
          <w:lang w:val="ro-RO"/>
        </w:rPr>
        <w:t xml:space="preserve"> contracte de vînzare-cumpărare a locuinţelor în proprietate privată.</w:t>
      </w:r>
    </w:p>
    <w:p w:rsidR="00436705" w:rsidRPr="000B742C" w:rsidRDefault="00436705" w:rsidP="000B742C">
      <w:pPr>
        <w:pStyle w:val="aa"/>
        <w:jc w:val="both"/>
        <w:rPr>
          <w:rFonts w:ascii="Times New Roman" w:hAnsi="Times New Roman"/>
          <w:sz w:val="24"/>
          <w:szCs w:val="24"/>
          <w:lang w:val="ro-RO"/>
        </w:rPr>
      </w:pPr>
      <w:r w:rsidRPr="000B742C">
        <w:rPr>
          <w:rFonts w:ascii="Times New Roman" w:hAnsi="Times New Roman"/>
          <w:sz w:val="24"/>
          <w:szCs w:val="24"/>
          <w:lang w:val="ro-RO"/>
        </w:rPr>
        <w:t xml:space="preserve">Întru rezolvarea problemelor apărute  în domeniul privatizării şi postprivatizării pe parcursul anului s-a acordat ajutor consultativ şi practic reprezentanţilor administraţiei publice locale, agenţilor economici şi populaţiei din raion. </w:t>
      </w:r>
    </w:p>
    <w:p w:rsidR="00436705" w:rsidRPr="000B742C" w:rsidRDefault="00436705" w:rsidP="000B742C">
      <w:pPr>
        <w:pStyle w:val="aa"/>
        <w:jc w:val="both"/>
        <w:rPr>
          <w:rFonts w:ascii="Times New Roman" w:hAnsi="Times New Roman"/>
          <w:sz w:val="24"/>
          <w:szCs w:val="24"/>
          <w:lang w:val="ro-RO"/>
        </w:rPr>
      </w:pPr>
      <w:r w:rsidRPr="000B742C">
        <w:rPr>
          <w:rFonts w:ascii="Times New Roman" w:hAnsi="Times New Roman"/>
          <w:sz w:val="24"/>
          <w:szCs w:val="24"/>
          <w:lang w:val="ro-RO"/>
        </w:rPr>
        <w:t xml:space="preserve">            Întru soluţionarea litigiilor pe dosarele ce ţin de privatuzarea fondului de locuinţe  s-a participat la </w:t>
      </w:r>
      <w:r w:rsidR="000B742C" w:rsidRPr="000B742C">
        <w:rPr>
          <w:rFonts w:ascii="Times New Roman" w:hAnsi="Times New Roman"/>
          <w:sz w:val="24"/>
          <w:szCs w:val="24"/>
          <w:lang w:val="ro-RO"/>
        </w:rPr>
        <w:t>17</w:t>
      </w:r>
      <w:r w:rsidRPr="000B742C">
        <w:rPr>
          <w:rFonts w:ascii="Times New Roman" w:hAnsi="Times New Roman"/>
          <w:sz w:val="24"/>
          <w:szCs w:val="24"/>
          <w:lang w:val="ro-RO"/>
        </w:rPr>
        <w:t xml:space="preserve"> ședinţe a Judecătoriei şi Curţii de Apel. </w:t>
      </w:r>
    </w:p>
    <w:p w:rsidR="00436705" w:rsidRPr="00317E27" w:rsidRDefault="00436705" w:rsidP="00436705">
      <w:pPr>
        <w:ind w:firstLine="540"/>
        <w:jc w:val="both"/>
        <w:rPr>
          <w:rFonts w:ascii="Times New Roman" w:eastAsia="Times New Roman" w:hAnsi="Times New Roman"/>
          <w:b/>
          <w:bCs/>
          <w:color w:val="000000"/>
          <w:sz w:val="24"/>
          <w:szCs w:val="24"/>
          <w:u w:val="single"/>
        </w:rPr>
      </w:pPr>
      <w:r w:rsidRPr="00317E27">
        <w:rPr>
          <w:rFonts w:ascii="Times New Roman" w:eastAsia="Times New Roman" w:hAnsi="Times New Roman"/>
          <w:b/>
          <w:bCs/>
          <w:color w:val="000000"/>
          <w:sz w:val="24"/>
          <w:szCs w:val="24"/>
          <w:u w:val="single"/>
        </w:rPr>
        <w:t>In domeniul</w:t>
      </w:r>
      <w:proofErr w:type="gramStart"/>
      <w:r w:rsidRPr="00317E27">
        <w:rPr>
          <w:rFonts w:ascii="Times New Roman" w:eastAsia="Times New Roman" w:hAnsi="Times New Roman"/>
          <w:b/>
          <w:bCs/>
          <w:color w:val="000000"/>
          <w:sz w:val="24"/>
          <w:szCs w:val="24"/>
          <w:u w:val="single"/>
        </w:rPr>
        <w:t>  dezvoltării</w:t>
      </w:r>
      <w:proofErr w:type="gramEnd"/>
      <w:r w:rsidRPr="00317E27">
        <w:rPr>
          <w:rFonts w:ascii="Times New Roman" w:eastAsia="Times New Roman" w:hAnsi="Times New Roman"/>
          <w:b/>
          <w:bCs/>
          <w:color w:val="000000"/>
          <w:sz w:val="24"/>
          <w:szCs w:val="24"/>
          <w:u w:val="single"/>
        </w:rPr>
        <w:t xml:space="preserve"> IMM</w:t>
      </w:r>
    </w:p>
    <w:p w:rsidR="00436705" w:rsidRPr="00A93282" w:rsidRDefault="00436705" w:rsidP="00A93282">
      <w:pPr>
        <w:pStyle w:val="aa"/>
        <w:ind w:firstLine="540"/>
        <w:jc w:val="both"/>
        <w:rPr>
          <w:rFonts w:ascii="Times New Roman" w:hAnsi="Times New Roman"/>
          <w:sz w:val="24"/>
          <w:szCs w:val="24"/>
        </w:rPr>
      </w:pPr>
      <w:r w:rsidRPr="00A93282">
        <w:rPr>
          <w:rFonts w:ascii="Times New Roman" w:hAnsi="Times New Roman"/>
          <w:sz w:val="24"/>
          <w:szCs w:val="24"/>
        </w:rPr>
        <w:t>Dezvoltarea sectorului</w:t>
      </w:r>
      <w:proofErr w:type="gramStart"/>
      <w:r w:rsidRPr="00A93282">
        <w:rPr>
          <w:rFonts w:ascii="Times New Roman" w:hAnsi="Times New Roman"/>
          <w:sz w:val="24"/>
          <w:szCs w:val="24"/>
        </w:rPr>
        <w:t>  întreprinderilor</w:t>
      </w:r>
      <w:proofErr w:type="gramEnd"/>
      <w:r w:rsidRPr="00A93282">
        <w:rPr>
          <w:rFonts w:ascii="Times New Roman" w:hAnsi="Times New Roman"/>
          <w:sz w:val="24"/>
          <w:szCs w:val="24"/>
        </w:rPr>
        <w:t xml:space="preserve"> mici şi mijlocii  (ÎMM) este  un factor  important de creştere economică şi  reducere a sărăciei.  Întreprinderile mici şi mijlocii contribuie direct la diminuarea şomajului, la asigurarea pieţii cu mărfuri şi servicii, influienţînd substanţial la</w:t>
      </w:r>
      <w:proofErr w:type="gramStart"/>
      <w:r w:rsidRPr="00A93282">
        <w:rPr>
          <w:rFonts w:ascii="Times New Roman" w:hAnsi="Times New Roman"/>
          <w:sz w:val="24"/>
          <w:szCs w:val="24"/>
        </w:rPr>
        <w:t>  ridicarea</w:t>
      </w:r>
      <w:proofErr w:type="gramEnd"/>
      <w:r w:rsidRPr="00A93282">
        <w:rPr>
          <w:rFonts w:ascii="Times New Roman" w:hAnsi="Times New Roman"/>
          <w:sz w:val="24"/>
          <w:szCs w:val="24"/>
        </w:rPr>
        <w:t xml:space="preserve"> nivelului de trai al comunităţilor.  Sectorului ÎMM îi revine </w:t>
      </w:r>
      <w:r w:rsidR="006F0779" w:rsidRPr="00A93282">
        <w:rPr>
          <w:rFonts w:ascii="Times New Roman" w:hAnsi="Times New Roman"/>
          <w:sz w:val="24"/>
          <w:szCs w:val="24"/>
        </w:rPr>
        <w:t>93</w:t>
      </w:r>
      <w:r w:rsidRPr="00A93282">
        <w:rPr>
          <w:rFonts w:ascii="Times New Roman" w:hAnsi="Times New Roman"/>
          <w:sz w:val="24"/>
          <w:szCs w:val="24"/>
        </w:rPr>
        <w:t xml:space="preserve"> la sută din numărul total</w:t>
      </w:r>
      <w:proofErr w:type="gramStart"/>
      <w:r w:rsidRPr="00A93282">
        <w:rPr>
          <w:rFonts w:ascii="Times New Roman" w:hAnsi="Times New Roman"/>
          <w:sz w:val="24"/>
          <w:szCs w:val="24"/>
        </w:rPr>
        <w:t>  de</w:t>
      </w:r>
      <w:proofErr w:type="gramEnd"/>
      <w:r w:rsidRPr="00A93282">
        <w:rPr>
          <w:rFonts w:ascii="Times New Roman" w:hAnsi="Times New Roman"/>
          <w:sz w:val="24"/>
          <w:szCs w:val="24"/>
        </w:rPr>
        <w:t xml:space="preserve"> întreprinderi  din raion. </w:t>
      </w:r>
    </w:p>
    <w:p w:rsidR="00436705" w:rsidRPr="00A93282" w:rsidRDefault="00436705" w:rsidP="00A93282">
      <w:pPr>
        <w:pStyle w:val="aa"/>
        <w:jc w:val="both"/>
        <w:rPr>
          <w:rFonts w:ascii="Times New Roman" w:hAnsi="Times New Roman"/>
          <w:sz w:val="24"/>
          <w:szCs w:val="24"/>
        </w:rPr>
      </w:pPr>
      <w:proofErr w:type="gramStart"/>
      <w:r w:rsidRPr="00A93282">
        <w:rPr>
          <w:rFonts w:ascii="Times New Roman" w:hAnsi="Times New Roman"/>
          <w:sz w:val="24"/>
          <w:szCs w:val="24"/>
        </w:rPr>
        <w:t>Conform</w:t>
      </w:r>
      <w:proofErr w:type="gramEnd"/>
      <w:r w:rsidRPr="00A93282">
        <w:rPr>
          <w:rFonts w:ascii="Times New Roman" w:hAnsi="Times New Roman"/>
          <w:sz w:val="24"/>
          <w:szCs w:val="24"/>
        </w:rPr>
        <w:t xml:space="preserve"> datelor prezentate la situaţia de la 01.01.201</w:t>
      </w:r>
      <w:r w:rsidR="000B742C" w:rsidRPr="00A93282">
        <w:rPr>
          <w:rFonts w:ascii="Times New Roman" w:hAnsi="Times New Roman"/>
          <w:sz w:val="24"/>
          <w:szCs w:val="24"/>
        </w:rPr>
        <w:t>9</w:t>
      </w:r>
      <w:r w:rsidRPr="00A93282">
        <w:rPr>
          <w:rFonts w:ascii="Times New Roman" w:hAnsi="Times New Roman"/>
          <w:sz w:val="24"/>
          <w:szCs w:val="24"/>
        </w:rPr>
        <w:t xml:space="preserve"> pe teritoriul raionului sunt înregistraţi la Inspectoratul Fiscal de Stat Cahul 15</w:t>
      </w:r>
      <w:r w:rsidR="000B742C" w:rsidRPr="00A93282">
        <w:rPr>
          <w:rFonts w:ascii="Times New Roman" w:hAnsi="Times New Roman"/>
          <w:sz w:val="24"/>
          <w:szCs w:val="24"/>
        </w:rPr>
        <w:t>088</w:t>
      </w:r>
      <w:r w:rsidRPr="00A93282">
        <w:rPr>
          <w:rFonts w:ascii="Times New Roman" w:hAnsi="Times New Roman"/>
          <w:sz w:val="24"/>
          <w:szCs w:val="24"/>
        </w:rPr>
        <w:t xml:space="preserve"> agenţi economici, din care: </w:t>
      </w:r>
    </w:p>
    <w:p w:rsidR="00436705" w:rsidRPr="00A93282" w:rsidRDefault="00436705" w:rsidP="00344D11">
      <w:pPr>
        <w:pStyle w:val="aa"/>
        <w:numPr>
          <w:ilvl w:val="0"/>
          <w:numId w:val="2"/>
        </w:numPr>
        <w:jc w:val="both"/>
        <w:rPr>
          <w:rFonts w:ascii="Times New Roman" w:hAnsi="Times New Roman"/>
          <w:sz w:val="24"/>
          <w:szCs w:val="24"/>
          <w:lang w:val="ru-RU"/>
        </w:rPr>
      </w:pPr>
      <w:r w:rsidRPr="00A93282">
        <w:rPr>
          <w:rFonts w:ascii="Times New Roman" w:hAnsi="Times New Roman"/>
          <w:sz w:val="24"/>
          <w:szCs w:val="24"/>
        </w:rPr>
        <w:t xml:space="preserve">întreprinderi individuale  - </w:t>
      </w:r>
      <w:r w:rsidRPr="00A93282">
        <w:rPr>
          <w:rFonts w:ascii="Times New Roman" w:hAnsi="Times New Roman"/>
          <w:sz w:val="24"/>
          <w:szCs w:val="24"/>
          <w:lang w:val="ro-RO"/>
        </w:rPr>
        <w:t>1</w:t>
      </w:r>
      <w:r w:rsidR="000B742C" w:rsidRPr="00A93282">
        <w:rPr>
          <w:rFonts w:ascii="Times New Roman" w:hAnsi="Times New Roman"/>
          <w:sz w:val="24"/>
          <w:szCs w:val="24"/>
          <w:lang w:val="ro-RO"/>
        </w:rPr>
        <w:t>239</w:t>
      </w:r>
      <w:r w:rsidRPr="00A93282">
        <w:rPr>
          <w:rFonts w:ascii="Times New Roman" w:hAnsi="Times New Roman"/>
          <w:sz w:val="24"/>
          <w:szCs w:val="24"/>
          <w:lang w:val="ro-RO"/>
        </w:rPr>
        <w:t xml:space="preserve">; </w:t>
      </w:r>
    </w:p>
    <w:p w:rsidR="00436705" w:rsidRPr="00A93282" w:rsidRDefault="00436705" w:rsidP="00344D11">
      <w:pPr>
        <w:pStyle w:val="aa"/>
        <w:numPr>
          <w:ilvl w:val="0"/>
          <w:numId w:val="2"/>
        </w:numPr>
        <w:jc w:val="both"/>
        <w:rPr>
          <w:rFonts w:ascii="Times New Roman" w:hAnsi="Times New Roman"/>
          <w:sz w:val="24"/>
          <w:szCs w:val="24"/>
        </w:rPr>
      </w:pPr>
      <w:r w:rsidRPr="00A93282">
        <w:rPr>
          <w:rFonts w:ascii="Times New Roman" w:hAnsi="Times New Roman"/>
          <w:sz w:val="24"/>
          <w:szCs w:val="24"/>
        </w:rPr>
        <w:t xml:space="preserve">gospodării ţărăneşti (de fermieri) </w:t>
      </w:r>
      <w:r w:rsidRPr="00A93282">
        <w:rPr>
          <w:rFonts w:ascii="Times New Roman" w:hAnsi="Times New Roman"/>
          <w:sz w:val="24"/>
          <w:szCs w:val="24"/>
          <w:lang w:val="ro-RO"/>
        </w:rPr>
        <w:t xml:space="preserve">și persoane fizice </w:t>
      </w:r>
      <w:r w:rsidRPr="00A93282">
        <w:rPr>
          <w:rFonts w:ascii="Times New Roman" w:hAnsi="Times New Roman"/>
          <w:sz w:val="24"/>
          <w:szCs w:val="24"/>
        </w:rPr>
        <w:t xml:space="preserve"> -  11</w:t>
      </w:r>
      <w:r w:rsidR="000B742C" w:rsidRPr="00A93282">
        <w:rPr>
          <w:rFonts w:ascii="Times New Roman" w:hAnsi="Times New Roman"/>
          <w:sz w:val="24"/>
          <w:szCs w:val="24"/>
        </w:rPr>
        <w:t>306</w:t>
      </w:r>
      <w:r w:rsidRPr="00A93282">
        <w:rPr>
          <w:rFonts w:ascii="Times New Roman" w:hAnsi="Times New Roman"/>
          <w:sz w:val="24"/>
          <w:szCs w:val="24"/>
        </w:rPr>
        <w:t xml:space="preserve">; </w:t>
      </w:r>
    </w:p>
    <w:p w:rsidR="00436705" w:rsidRPr="00A93282" w:rsidRDefault="00436705" w:rsidP="00344D11">
      <w:pPr>
        <w:pStyle w:val="aa"/>
        <w:numPr>
          <w:ilvl w:val="0"/>
          <w:numId w:val="2"/>
        </w:numPr>
        <w:jc w:val="both"/>
        <w:rPr>
          <w:rFonts w:ascii="Times New Roman" w:hAnsi="Times New Roman"/>
          <w:sz w:val="24"/>
          <w:szCs w:val="24"/>
          <w:lang w:val="ru-RU"/>
        </w:rPr>
      </w:pPr>
      <w:r w:rsidRPr="00A93282">
        <w:rPr>
          <w:rFonts w:ascii="Times New Roman" w:hAnsi="Times New Roman"/>
          <w:sz w:val="24"/>
          <w:szCs w:val="24"/>
        </w:rPr>
        <w:t>societăţi cu răspundere limitată  - 1</w:t>
      </w:r>
      <w:r w:rsidR="000B742C" w:rsidRPr="00A93282">
        <w:rPr>
          <w:rFonts w:ascii="Times New Roman" w:hAnsi="Times New Roman"/>
          <w:sz w:val="24"/>
          <w:szCs w:val="24"/>
        </w:rPr>
        <w:t>399</w:t>
      </w:r>
      <w:r w:rsidRPr="00A93282">
        <w:rPr>
          <w:rFonts w:ascii="Times New Roman" w:hAnsi="Times New Roman"/>
          <w:sz w:val="24"/>
          <w:szCs w:val="24"/>
        </w:rPr>
        <w:t xml:space="preserve">; </w:t>
      </w:r>
    </w:p>
    <w:p w:rsidR="00436705" w:rsidRPr="00A93282" w:rsidRDefault="00436705" w:rsidP="00344D11">
      <w:pPr>
        <w:pStyle w:val="aa"/>
        <w:numPr>
          <w:ilvl w:val="0"/>
          <w:numId w:val="2"/>
        </w:numPr>
        <w:jc w:val="both"/>
        <w:rPr>
          <w:rFonts w:ascii="Times New Roman" w:hAnsi="Times New Roman"/>
          <w:sz w:val="24"/>
          <w:szCs w:val="24"/>
        </w:rPr>
      </w:pPr>
      <w:proofErr w:type="gramStart"/>
      <w:r w:rsidRPr="00A93282">
        <w:rPr>
          <w:rFonts w:ascii="Times New Roman" w:hAnsi="Times New Roman"/>
          <w:sz w:val="24"/>
          <w:szCs w:val="24"/>
        </w:rPr>
        <w:t>societăţi</w:t>
      </w:r>
      <w:proofErr w:type="gramEnd"/>
      <w:r w:rsidRPr="00A93282">
        <w:rPr>
          <w:rFonts w:ascii="Times New Roman" w:hAnsi="Times New Roman"/>
          <w:sz w:val="24"/>
          <w:szCs w:val="24"/>
        </w:rPr>
        <w:t xml:space="preserve"> pe acţiuni –8</w:t>
      </w:r>
      <w:r w:rsidR="000B742C" w:rsidRPr="00A93282">
        <w:rPr>
          <w:rFonts w:ascii="Times New Roman" w:hAnsi="Times New Roman"/>
          <w:sz w:val="24"/>
          <w:szCs w:val="24"/>
        </w:rPr>
        <w:t>3</w:t>
      </w:r>
      <w:r w:rsidRPr="00A93282">
        <w:rPr>
          <w:rFonts w:ascii="Times New Roman" w:hAnsi="Times New Roman"/>
          <w:sz w:val="24"/>
          <w:szCs w:val="24"/>
        </w:rPr>
        <w:t>.</w:t>
      </w:r>
    </w:p>
    <w:p w:rsidR="00927C92" w:rsidRPr="00352678" w:rsidRDefault="00927C92" w:rsidP="00927C92">
      <w:pPr>
        <w:pStyle w:val="aa"/>
        <w:jc w:val="both"/>
        <w:rPr>
          <w:rFonts w:ascii="Times New Roman" w:hAnsi="Times New Roman"/>
          <w:sz w:val="24"/>
          <w:szCs w:val="24"/>
          <w:shd w:val="clear" w:color="auto" w:fill="FFFFFF"/>
        </w:rPr>
      </w:pPr>
      <w:r w:rsidRPr="00352678">
        <w:rPr>
          <w:rFonts w:ascii="Times New Roman" w:hAnsi="Times New Roman"/>
          <w:sz w:val="24"/>
          <w:szCs w:val="24"/>
          <w:shd w:val="clear" w:color="auto" w:fill="FFFFFF"/>
        </w:rPr>
        <w:t>Întru promovarea imaginii regiunii de sud a ţării, precum şi a economiei locale drept o destinaţie atractivă pentru dezvoltarea afacerilor şi plasarea investiţiilor, la 1 februarie 2018, s-a desfăşurat Forumul Internaţional de Afaceri din Cahul.</w:t>
      </w:r>
    </w:p>
    <w:p w:rsidR="00927C92" w:rsidRPr="00352678" w:rsidRDefault="00927C92" w:rsidP="00927C92">
      <w:pPr>
        <w:pStyle w:val="aa"/>
        <w:jc w:val="both"/>
        <w:rPr>
          <w:rFonts w:ascii="Times New Roman" w:hAnsi="Times New Roman"/>
          <w:sz w:val="24"/>
          <w:szCs w:val="24"/>
          <w:shd w:val="clear" w:color="auto" w:fill="FFFFFF"/>
        </w:rPr>
      </w:pPr>
      <w:r w:rsidRPr="00352678">
        <w:rPr>
          <w:rFonts w:ascii="Times New Roman" w:hAnsi="Times New Roman"/>
          <w:sz w:val="24"/>
          <w:szCs w:val="24"/>
          <w:shd w:val="clear" w:color="auto" w:fill="FFFFFF"/>
        </w:rPr>
        <w:t xml:space="preserve">La eveniment au participat peste 100 de întreprinderi din Republica Moldova şi din străinătate, reprezentând diverse sectoare precum: agricultura, industria agroalimentară, tehnologii informaţionale şi comunicaţii, textile, sectorul construcţiilor, energie regenerabilă, sectorul automotive, industriile creative etc. Forumul s-a finalizat cu o sesiune de întrevederi bilaterale de afaceri, menite </w:t>
      </w:r>
      <w:proofErr w:type="gramStart"/>
      <w:r w:rsidRPr="00352678">
        <w:rPr>
          <w:rFonts w:ascii="Times New Roman" w:hAnsi="Times New Roman"/>
          <w:sz w:val="24"/>
          <w:szCs w:val="24"/>
          <w:shd w:val="clear" w:color="auto" w:fill="FFFFFF"/>
        </w:rPr>
        <w:t>să</w:t>
      </w:r>
      <w:proofErr w:type="gramEnd"/>
      <w:r w:rsidRPr="00352678">
        <w:rPr>
          <w:rFonts w:ascii="Times New Roman" w:hAnsi="Times New Roman"/>
          <w:sz w:val="24"/>
          <w:szCs w:val="24"/>
          <w:shd w:val="clear" w:color="auto" w:fill="FFFFFF"/>
        </w:rPr>
        <w:t xml:space="preserve"> dezvolte relaţiile comerciale şi parteneriatele internaţionale.</w:t>
      </w:r>
    </w:p>
    <w:p w:rsidR="00927C92" w:rsidRDefault="00927C92" w:rsidP="00927C92">
      <w:pPr>
        <w:pStyle w:val="aa"/>
        <w:jc w:val="both"/>
        <w:rPr>
          <w:rFonts w:ascii="Times New Roman" w:hAnsi="Times New Roman"/>
          <w:sz w:val="24"/>
          <w:szCs w:val="24"/>
        </w:rPr>
      </w:pPr>
      <w:proofErr w:type="gramStart"/>
      <w:r>
        <w:rPr>
          <w:rFonts w:ascii="Times New Roman" w:hAnsi="Times New Roman"/>
          <w:color w:val="000000"/>
          <w:sz w:val="24"/>
          <w:szCs w:val="24"/>
        </w:rPr>
        <w:t>Un</w:t>
      </w:r>
      <w:proofErr w:type="gramEnd"/>
      <w:r>
        <w:rPr>
          <w:rFonts w:ascii="Times New Roman" w:hAnsi="Times New Roman"/>
          <w:color w:val="000000"/>
          <w:sz w:val="24"/>
          <w:szCs w:val="24"/>
        </w:rPr>
        <w:t xml:space="preserve"> alt </w:t>
      </w:r>
      <w:r w:rsidRPr="00002C8B">
        <w:rPr>
          <w:rFonts w:ascii="Times New Roman" w:hAnsi="Times New Roman"/>
          <w:color w:val="000000"/>
          <w:sz w:val="24"/>
          <w:szCs w:val="24"/>
        </w:rPr>
        <w:t>element al infrastructurii de promovare micului business este organizarea şi desfăşurarea anuală a expoziţiei</w:t>
      </w:r>
      <w:r>
        <w:rPr>
          <w:rFonts w:ascii="Times New Roman" w:hAnsi="Times New Roman"/>
          <w:color w:val="000000"/>
          <w:sz w:val="24"/>
          <w:szCs w:val="24"/>
        </w:rPr>
        <w:t xml:space="preserve"> naţionale “Fabricat in Moldova</w:t>
      </w:r>
      <w:r w:rsidRPr="00002C8B">
        <w:rPr>
          <w:rFonts w:ascii="Times New Roman" w:hAnsi="Times New Roman"/>
          <w:color w:val="000000"/>
          <w:sz w:val="24"/>
          <w:szCs w:val="24"/>
        </w:rPr>
        <w:t>”, care a devenit deja o tradiţie. Aceste expoziţii au drept scop promovarea firmelor autohtone pe piaţa internă şi externă, căutarea partenerilor de afaceri, informarea publicului larg, precum şi iniţierea dialogului cu organele publice centrale şi locale, expoziţia fiind însoţită de un şir de seminare, mese rotunde, concursuri.</w:t>
      </w:r>
      <w:r>
        <w:rPr>
          <w:rFonts w:ascii="Times New Roman" w:hAnsi="Times New Roman"/>
          <w:color w:val="000000"/>
          <w:sz w:val="24"/>
          <w:szCs w:val="24"/>
        </w:rPr>
        <w:t xml:space="preserve"> </w:t>
      </w:r>
      <w:r w:rsidRPr="00002C8B">
        <w:rPr>
          <w:rFonts w:ascii="Times New Roman" w:hAnsi="Times New Roman"/>
          <w:sz w:val="24"/>
          <w:szCs w:val="24"/>
        </w:rPr>
        <w:t xml:space="preserve">Consiliului Raional Cahul  a organizat şi a participat  cu un stand comun cu agenții </w:t>
      </w:r>
      <w:r w:rsidRPr="00002C8B">
        <w:rPr>
          <w:rFonts w:ascii="Times New Roman" w:hAnsi="Times New Roman"/>
          <w:sz w:val="24"/>
          <w:szCs w:val="24"/>
        </w:rPr>
        <w:lastRenderedPageBreak/>
        <w:t>economici din raion la cea de-a XV</w:t>
      </w:r>
      <w:r>
        <w:rPr>
          <w:rFonts w:ascii="Times New Roman" w:hAnsi="Times New Roman"/>
          <w:sz w:val="24"/>
          <w:szCs w:val="24"/>
        </w:rPr>
        <w:t>II</w:t>
      </w:r>
      <w:r w:rsidRPr="00002C8B">
        <w:rPr>
          <w:rFonts w:ascii="Times New Roman" w:hAnsi="Times New Roman"/>
          <w:sz w:val="24"/>
          <w:szCs w:val="24"/>
        </w:rPr>
        <w:t xml:space="preserve"> ediție a expoziţiei naţionale „Fabricat în Moldova”, în incinta Centrului Internaţional de Expoziţii „Moldexpo”. </w:t>
      </w:r>
    </w:p>
    <w:p w:rsidR="00927C92" w:rsidRPr="00002C8B" w:rsidRDefault="00927C92" w:rsidP="00927C92">
      <w:pPr>
        <w:pStyle w:val="aa"/>
        <w:jc w:val="both"/>
        <w:rPr>
          <w:rFonts w:ascii="Times New Roman" w:hAnsi="Times New Roman"/>
          <w:sz w:val="24"/>
          <w:szCs w:val="24"/>
        </w:rPr>
      </w:pPr>
      <w:r>
        <w:rPr>
          <w:rFonts w:ascii="Times New Roman" w:hAnsi="Times New Roman"/>
          <w:sz w:val="24"/>
          <w:szCs w:val="24"/>
        </w:rPr>
        <w:t xml:space="preserve">În luna septembrie 2018 s-a organizat Sărbătoarea Roadelor de la Cahul, avînd scopul de a promova realizările agenţilor economici din raion, marcînd, totodată, sfîrşitul anului agricol.  În cadrul sărbătorii s-au organizat iarmaroace, expoziţii de artizanat, programe artistice susţinute de artişti locali şi din </w:t>
      </w:r>
      <w:proofErr w:type="gramStart"/>
      <w:r>
        <w:rPr>
          <w:rFonts w:ascii="Times New Roman" w:hAnsi="Times New Roman"/>
          <w:sz w:val="24"/>
          <w:szCs w:val="24"/>
        </w:rPr>
        <w:t>ţară</w:t>
      </w:r>
      <w:proofErr w:type="gramEnd"/>
      <w:r>
        <w:rPr>
          <w:rFonts w:ascii="Times New Roman" w:hAnsi="Times New Roman"/>
          <w:sz w:val="24"/>
          <w:szCs w:val="24"/>
        </w:rPr>
        <w:t>.</w:t>
      </w:r>
    </w:p>
    <w:p w:rsidR="00927C92" w:rsidRDefault="00927C92" w:rsidP="00927C92">
      <w:pPr>
        <w:pStyle w:val="aa"/>
        <w:jc w:val="both"/>
        <w:rPr>
          <w:rFonts w:ascii="Times New Roman" w:hAnsi="Times New Roman"/>
          <w:sz w:val="24"/>
          <w:szCs w:val="24"/>
        </w:rPr>
      </w:pPr>
      <w:r w:rsidRPr="00D06A3F">
        <w:rPr>
          <w:rFonts w:ascii="Times New Roman" w:hAnsi="Times New Roman"/>
          <w:sz w:val="24"/>
          <w:szCs w:val="24"/>
        </w:rPr>
        <w:t xml:space="preserve">Este de menţionat faptul că în ultimii ani </w:t>
      </w:r>
      <w:r w:rsidRPr="00A93282">
        <w:rPr>
          <w:rFonts w:ascii="Times New Roman" w:hAnsi="Times New Roman"/>
          <w:sz w:val="24"/>
          <w:szCs w:val="24"/>
          <w:lang w:val="ro-RO"/>
        </w:rPr>
        <w:t xml:space="preserve">în colaborare cu ODIMM, Incubatorul de Afaceri Cahul, Centrul de Business din Cahul, Centrul „Contact”, etc. </w:t>
      </w:r>
      <w:r w:rsidRPr="00D06A3F">
        <w:rPr>
          <w:rFonts w:ascii="Times New Roman" w:hAnsi="Times New Roman"/>
          <w:sz w:val="24"/>
          <w:szCs w:val="24"/>
        </w:rPr>
        <w:t xml:space="preserve">se organizează seminare de instruire </w:t>
      </w:r>
      <w:r>
        <w:rPr>
          <w:rFonts w:ascii="Times New Roman" w:hAnsi="Times New Roman"/>
          <w:sz w:val="24"/>
          <w:szCs w:val="24"/>
        </w:rPr>
        <w:t xml:space="preserve">din diverse domenii de activitate, oferirea consultaţiilor în domeniul iniţierii şi dezvoltării afacerii, etc.  </w:t>
      </w:r>
    </w:p>
    <w:p w:rsidR="001B11BC" w:rsidRDefault="001B11BC" w:rsidP="001B11BC">
      <w:pPr>
        <w:pStyle w:val="aa"/>
        <w:ind w:firstLine="708"/>
        <w:jc w:val="both"/>
        <w:rPr>
          <w:rFonts w:ascii="Times New Roman" w:hAnsi="Times New Roman"/>
          <w:sz w:val="24"/>
          <w:szCs w:val="24"/>
          <w:lang w:val="ro-RO"/>
        </w:rPr>
      </w:pPr>
      <w:r>
        <w:rPr>
          <w:rFonts w:ascii="Times New Roman" w:hAnsi="Times New Roman"/>
          <w:sz w:val="24"/>
          <w:szCs w:val="24"/>
          <w:shd w:val="clear" w:color="auto" w:fill="FFFFFF"/>
        </w:rPr>
        <w:t xml:space="preserve">Aşa, </w:t>
      </w:r>
      <w:r>
        <w:rPr>
          <w:rFonts w:ascii="Times New Roman" w:hAnsi="Times New Roman"/>
          <w:sz w:val="24"/>
          <w:szCs w:val="24"/>
          <w:lang w:val="ro-RO"/>
        </w:rPr>
        <w:t>p</w:t>
      </w:r>
      <w:r w:rsidRPr="00BA5AE0">
        <w:rPr>
          <w:rFonts w:ascii="Times New Roman" w:hAnsi="Times New Roman"/>
          <w:sz w:val="24"/>
          <w:szCs w:val="24"/>
          <w:lang w:val="ro-RO"/>
        </w:rPr>
        <w:t>e parcursul anilor 2017-2018 au benificiat de asistență financiară nerambursabilă</w:t>
      </w:r>
      <w:r w:rsidR="00246735">
        <w:rPr>
          <w:rFonts w:ascii="Times New Roman" w:hAnsi="Times New Roman"/>
          <w:sz w:val="24"/>
          <w:szCs w:val="24"/>
          <w:lang w:val="ro-RO"/>
        </w:rPr>
        <w:t>,</w:t>
      </w:r>
      <w:r w:rsidRPr="00BA5AE0">
        <w:rPr>
          <w:rFonts w:ascii="Times New Roman" w:hAnsi="Times New Roman"/>
          <w:sz w:val="24"/>
          <w:szCs w:val="24"/>
          <w:lang w:val="ro-RO"/>
        </w:rPr>
        <w:t xml:space="preserve"> gestionate de ODIMM</w:t>
      </w:r>
      <w:r w:rsidR="00246735">
        <w:rPr>
          <w:rFonts w:ascii="Times New Roman" w:hAnsi="Times New Roman"/>
          <w:sz w:val="24"/>
          <w:szCs w:val="24"/>
          <w:lang w:val="ro-RO"/>
        </w:rPr>
        <w:t>,</w:t>
      </w:r>
      <w:r w:rsidRPr="00BA5AE0">
        <w:rPr>
          <w:rFonts w:ascii="Times New Roman" w:hAnsi="Times New Roman"/>
          <w:sz w:val="24"/>
          <w:szCs w:val="24"/>
          <w:lang w:val="ro-RO"/>
        </w:rPr>
        <w:t xml:space="preserve">  prin intermediul Programului de Atragere a Remitențelor în Economie </w:t>
      </w:r>
      <w:r w:rsidRPr="00FA5169">
        <w:rPr>
          <w:rFonts w:ascii="Times New Roman" w:hAnsi="Times New Roman"/>
          <w:sz w:val="24"/>
          <w:szCs w:val="24"/>
        </w:rPr>
        <w:t>«</w:t>
      </w:r>
      <w:r w:rsidRPr="00BA5AE0">
        <w:rPr>
          <w:rFonts w:ascii="Times New Roman" w:hAnsi="Times New Roman"/>
          <w:sz w:val="24"/>
          <w:szCs w:val="24"/>
          <w:lang w:val="ro-RO"/>
        </w:rPr>
        <w:t>PARE 1+1</w:t>
      </w:r>
      <w:r w:rsidRPr="00FA5169">
        <w:rPr>
          <w:rFonts w:ascii="Times New Roman" w:hAnsi="Times New Roman"/>
          <w:sz w:val="24"/>
          <w:szCs w:val="24"/>
        </w:rPr>
        <w:t>»</w:t>
      </w:r>
      <w:r w:rsidRPr="00BA5AE0">
        <w:rPr>
          <w:rFonts w:ascii="Times New Roman" w:hAnsi="Times New Roman"/>
          <w:sz w:val="24"/>
          <w:szCs w:val="24"/>
          <w:lang w:val="ro-RO"/>
        </w:rPr>
        <w:t xml:space="preserve"> – 15 beneficiari</w:t>
      </w:r>
      <w:r>
        <w:rPr>
          <w:rFonts w:ascii="Times New Roman" w:hAnsi="Times New Roman"/>
          <w:sz w:val="24"/>
          <w:szCs w:val="24"/>
          <w:lang w:val="ro-RO"/>
        </w:rPr>
        <w:t xml:space="preserve"> de granturi în sumă totală de 3400,0 mii lei</w:t>
      </w:r>
      <w:r w:rsidRPr="00BA5AE0">
        <w:rPr>
          <w:rFonts w:ascii="Times New Roman" w:hAnsi="Times New Roman"/>
          <w:sz w:val="24"/>
          <w:szCs w:val="24"/>
          <w:lang w:val="ro-RO"/>
        </w:rPr>
        <w:t>, din c</w:t>
      </w:r>
      <w:r>
        <w:rPr>
          <w:rFonts w:ascii="Times New Roman" w:hAnsi="Times New Roman"/>
          <w:sz w:val="24"/>
          <w:szCs w:val="24"/>
          <w:lang w:val="ro-RO"/>
        </w:rPr>
        <w:t>are 10 din domeniul agricultură</w:t>
      </w:r>
      <w:r w:rsidRPr="00BA5AE0">
        <w:rPr>
          <w:rFonts w:ascii="Times New Roman" w:hAnsi="Times New Roman"/>
          <w:sz w:val="24"/>
          <w:szCs w:val="24"/>
          <w:lang w:val="ro-RO"/>
        </w:rPr>
        <w:t>, din care suma grantului aprobată constituie 2350,0 mii lei.</w:t>
      </w:r>
    </w:p>
    <w:p w:rsidR="00246735" w:rsidRPr="00BA5AE0" w:rsidRDefault="00246735" w:rsidP="001B11BC">
      <w:pPr>
        <w:pStyle w:val="aa"/>
        <w:ind w:firstLine="708"/>
        <w:jc w:val="both"/>
        <w:rPr>
          <w:rFonts w:ascii="Times New Roman" w:hAnsi="Times New Roman"/>
          <w:sz w:val="24"/>
          <w:szCs w:val="24"/>
          <w:lang w:val="ro-RO"/>
        </w:rPr>
      </w:pPr>
      <w:r>
        <w:rPr>
          <w:rFonts w:ascii="Times New Roman" w:hAnsi="Times New Roman"/>
          <w:sz w:val="24"/>
          <w:szCs w:val="24"/>
          <w:lang w:val="ro-RO"/>
        </w:rPr>
        <w:t>Programul „Femei în Afaceri”, iniţiat în anul 2017 a oferit finanţare nerambursabilă  pentru 2 agenţi economici a cărui sumă totală pentru investiţiei planificate a constituit 516,6 mii lei, din care suma grantului aprobată constitue 266,1 mii lei.</w:t>
      </w:r>
    </w:p>
    <w:p w:rsidR="001B11BC" w:rsidRPr="00BA5AE0" w:rsidRDefault="001B11BC" w:rsidP="001B11BC">
      <w:pPr>
        <w:pStyle w:val="aa"/>
        <w:ind w:firstLine="708"/>
        <w:jc w:val="both"/>
        <w:rPr>
          <w:rFonts w:ascii="Times New Roman" w:hAnsi="Times New Roman"/>
          <w:sz w:val="24"/>
          <w:szCs w:val="24"/>
          <w:lang w:val="ro-RO"/>
        </w:rPr>
      </w:pPr>
      <w:r w:rsidRPr="00BA5AE0">
        <w:rPr>
          <w:rFonts w:ascii="Times New Roman" w:hAnsi="Times New Roman"/>
          <w:sz w:val="24"/>
          <w:szCs w:val="24"/>
          <w:lang w:val="ro-RO"/>
        </w:rPr>
        <w:t>Totodată, în cadrul Programului Gestionarea eficientă a Afacerii au fost instruiți 236 de antreprenori din raionul Cahul, iar prin intermediul Centrului de Consultanță și Asistență în Afaceri au fost oferite 152 de consultații în domeniul inițierii și dezvoltării afacerilor.</w:t>
      </w:r>
    </w:p>
    <w:p w:rsidR="00927C92" w:rsidRDefault="00927C92" w:rsidP="00344D11">
      <w:pPr>
        <w:pStyle w:val="aa"/>
        <w:ind w:firstLine="360"/>
        <w:jc w:val="both"/>
        <w:rPr>
          <w:rFonts w:ascii="Times New Roman" w:hAnsi="Times New Roman"/>
          <w:sz w:val="24"/>
          <w:szCs w:val="24"/>
          <w:lang w:val="ro-RO"/>
        </w:rPr>
      </w:pPr>
    </w:p>
    <w:p w:rsidR="006F0779" w:rsidRPr="00A93282" w:rsidRDefault="00A93282" w:rsidP="00344D11">
      <w:pPr>
        <w:pStyle w:val="aa"/>
        <w:ind w:firstLine="360"/>
        <w:jc w:val="both"/>
        <w:rPr>
          <w:rFonts w:ascii="Times New Roman" w:hAnsi="Times New Roman"/>
          <w:sz w:val="24"/>
          <w:szCs w:val="24"/>
          <w:lang w:val="ro-RO"/>
        </w:rPr>
      </w:pPr>
      <w:r w:rsidRPr="00A93282">
        <w:rPr>
          <w:rFonts w:ascii="Times New Roman" w:hAnsi="Times New Roman"/>
          <w:sz w:val="24"/>
          <w:szCs w:val="24"/>
          <w:lang w:val="ro-RO"/>
        </w:rPr>
        <w:t xml:space="preserve">Un evenument important pentru începătorii ai </w:t>
      </w:r>
      <w:r w:rsidR="00246735">
        <w:rPr>
          <w:rFonts w:ascii="Times New Roman" w:hAnsi="Times New Roman"/>
          <w:sz w:val="24"/>
          <w:szCs w:val="24"/>
          <w:lang w:val="ro-RO"/>
        </w:rPr>
        <w:t>Î</w:t>
      </w:r>
      <w:r w:rsidRPr="00A93282">
        <w:rPr>
          <w:rFonts w:ascii="Times New Roman" w:hAnsi="Times New Roman"/>
          <w:sz w:val="24"/>
          <w:szCs w:val="24"/>
          <w:lang w:val="ro-RO"/>
        </w:rPr>
        <w:t xml:space="preserve">MM a fost deschiderea </w:t>
      </w:r>
      <w:r w:rsidR="006F0779" w:rsidRPr="00A93282">
        <w:rPr>
          <w:rFonts w:ascii="Times New Roman" w:hAnsi="Times New Roman"/>
          <w:sz w:val="24"/>
          <w:szCs w:val="24"/>
          <w:lang w:val="ro-RO"/>
        </w:rPr>
        <w:t>Incubatorul de Afaceri Cahul.</w:t>
      </w:r>
    </w:p>
    <w:p w:rsidR="006F0779" w:rsidRPr="00BA5AE0" w:rsidRDefault="006F0779" w:rsidP="006F0779">
      <w:pPr>
        <w:pStyle w:val="aa"/>
        <w:ind w:firstLine="708"/>
        <w:jc w:val="both"/>
        <w:rPr>
          <w:rFonts w:ascii="Times New Roman" w:eastAsia="Times New Roman" w:hAnsi="Times New Roman"/>
          <w:sz w:val="24"/>
          <w:szCs w:val="24"/>
          <w:lang w:eastAsia="ru-RU"/>
        </w:rPr>
      </w:pPr>
      <w:r w:rsidRPr="00BA5AE0">
        <w:rPr>
          <w:rFonts w:ascii="Times New Roman" w:eastAsia="Times New Roman" w:hAnsi="Times New Roman"/>
          <w:sz w:val="24"/>
          <w:szCs w:val="24"/>
          <w:lang w:eastAsia="ru-RU"/>
        </w:rPr>
        <w:t xml:space="preserve">Incubatorul din </w:t>
      </w:r>
      <w:proofErr w:type="gramStart"/>
      <w:r w:rsidRPr="00BA5AE0">
        <w:rPr>
          <w:rFonts w:ascii="Times New Roman" w:eastAsia="Times New Roman" w:hAnsi="Times New Roman"/>
          <w:sz w:val="24"/>
          <w:szCs w:val="24"/>
          <w:lang w:eastAsia="ru-RU"/>
        </w:rPr>
        <w:t>Cahul  găzduie</w:t>
      </w:r>
      <w:proofErr w:type="gramEnd"/>
      <w:r w:rsidRPr="00BA5AE0">
        <w:rPr>
          <w:rFonts w:ascii="Times New Roman" w:eastAsia="Times New Roman" w:hAnsi="Times New Roman"/>
          <w:sz w:val="24"/>
          <w:szCs w:val="24"/>
          <w:lang w:eastAsia="ru-RU"/>
        </w:rPr>
        <w:t xml:space="preserve">ște inițial </w:t>
      </w:r>
      <w:r w:rsidRPr="00FA5169">
        <w:rPr>
          <w:rFonts w:ascii="Times New Roman" w:eastAsia="Times New Roman" w:hAnsi="Times New Roman"/>
          <w:sz w:val="24"/>
          <w:szCs w:val="24"/>
          <w:lang w:eastAsia="ru-RU"/>
        </w:rPr>
        <w:t xml:space="preserve">15 </w:t>
      </w:r>
      <w:r>
        <w:rPr>
          <w:rFonts w:ascii="Times New Roman" w:eastAsia="Times New Roman" w:hAnsi="Times New Roman"/>
          <w:sz w:val="24"/>
          <w:szCs w:val="24"/>
          <w:lang w:val="ro-RO" w:eastAsia="ru-RU"/>
        </w:rPr>
        <w:t xml:space="preserve">rezidenţi </w:t>
      </w:r>
      <w:r>
        <w:rPr>
          <w:rFonts w:ascii="Times New Roman" w:eastAsia="Times New Roman" w:hAnsi="Times New Roman"/>
          <w:sz w:val="24"/>
          <w:szCs w:val="24"/>
          <w:lang w:eastAsia="ru-RU"/>
        </w:rPr>
        <w:t>orientati</w:t>
      </w:r>
      <w:r w:rsidRPr="00BA5AE0">
        <w:rPr>
          <w:rFonts w:ascii="Times New Roman" w:eastAsia="Times New Roman" w:hAnsi="Times New Roman"/>
          <w:sz w:val="24"/>
          <w:szCs w:val="24"/>
          <w:lang w:eastAsia="ru-RU"/>
        </w:rPr>
        <w:t xml:space="preserve"> preponderent spre servicii și producție, ulterior urmând să fie completate până la 24 de locuri. De asemenea de serviciil</w:t>
      </w:r>
      <w:r>
        <w:rPr>
          <w:rFonts w:ascii="Times New Roman" w:eastAsia="Times New Roman" w:hAnsi="Times New Roman"/>
          <w:sz w:val="24"/>
          <w:szCs w:val="24"/>
          <w:lang w:eastAsia="ru-RU"/>
        </w:rPr>
        <w:t xml:space="preserve">e </w:t>
      </w:r>
      <w:proofErr w:type="gramStart"/>
      <w:r>
        <w:rPr>
          <w:rFonts w:ascii="Times New Roman" w:eastAsia="Times New Roman" w:hAnsi="Times New Roman"/>
          <w:sz w:val="24"/>
          <w:szCs w:val="24"/>
          <w:lang w:eastAsia="ru-RU"/>
        </w:rPr>
        <w:t>incubatorului  beneficiază</w:t>
      </w:r>
      <w:proofErr w:type="gramEnd"/>
      <w:r>
        <w:rPr>
          <w:rFonts w:ascii="Times New Roman" w:eastAsia="Times New Roman" w:hAnsi="Times New Roman"/>
          <w:sz w:val="24"/>
          <w:szCs w:val="24"/>
          <w:lang w:eastAsia="ru-RU"/>
        </w:rPr>
        <w:t xml:space="preserve"> şi</w:t>
      </w:r>
      <w:r w:rsidRPr="00BA5AE0">
        <w:rPr>
          <w:rFonts w:ascii="Times New Roman" w:eastAsia="Times New Roman" w:hAnsi="Times New Roman"/>
          <w:sz w:val="24"/>
          <w:szCs w:val="24"/>
          <w:lang w:eastAsia="ru-RU"/>
        </w:rPr>
        <w:t xml:space="preserve"> rezidenți virtuali</w:t>
      </w:r>
      <w:r>
        <w:rPr>
          <w:rFonts w:ascii="Times New Roman" w:eastAsia="Times New Roman" w:hAnsi="Times New Roman"/>
          <w:sz w:val="24"/>
          <w:szCs w:val="24"/>
          <w:lang w:eastAsia="ru-RU"/>
        </w:rPr>
        <w:t>(1)</w:t>
      </w:r>
      <w:r w:rsidRPr="00BA5AE0">
        <w:rPr>
          <w:rFonts w:ascii="Times New Roman" w:eastAsia="Times New Roman" w:hAnsi="Times New Roman"/>
          <w:sz w:val="24"/>
          <w:szCs w:val="24"/>
          <w:lang w:eastAsia="ru-RU"/>
        </w:rPr>
        <w:t>. </w:t>
      </w:r>
    </w:p>
    <w:p w:rsidR="006F0779" w:rsidRPr="00BA5AE0" w:rsidRDefault="006F0779" w:rsidP="006F0779">
      <w:pPr>
        <w:pStyle w:val="aa"/>
        <w:ind w:firstLine="708"/>
        <w:jc w:val="both"/>
        <w:rPr>
          <w:rFonts w:ascii="Times New Roman" w:eastAsia="Times New Roman" w:hAnsi="Times New Roman"/>
          <w:sz w:val="24"/>
          <w:szCs w:val="24"/>
          <w:lang w:eastAsia="ru-RU"/>
        </w:rPr>
      </w:pPr>
      <w:r w:rsidRPr="00BA5AE0">
        <w:rPr>
          <w:rFonts w:ascii="Times New Roman" w:eastAsia="Times New Roman" w:hAnsi="Times New Roman"/>
          <w:sz w:val="24"/>
          <w:szCs w:val="24"/>
          <w:lang w:eastAsia="ru-RU"/>
        </w:rPr>
        <w:t>O bună parte dintre companiile incubate la Cahul sunt specializate în prestări de servicii și producție (alimentație publică, contabilitate, servicii de masaj terapeutic, intermedieri, producerea geamuri și uși din PVC). </w:t>
      </w:r>
    </w:p>
    <w:p w:rsidR="006F0779" w:rsidRDefault="006F0779" w:rsidP="006F0779">
      <w:pPr>
        <w:pStyle w:val="aa"/>
        <w:ind w:firstLine="708"/>
        <w:jc w:val="both"/>
        <w:rPr>
          <w:rFonts w:ascii="Times New Roman" w:eastAsia="Times New Roman" w:hAnsi="Times New Roman"/>
          <w:sz w:val="24"/>
          <w:szCs w:val="24"/>
          <w:lang w:eastAsia="ru-RU"/>
        </w:rPr>
      </w:pPr>
      <w:r w:rsidRPr="00BA5AE0">
        <w:rPr>
          <w:rFonts w:ascii="Times New Roman" w:eastAsia="Times New Roman" w:hAnsi="Times New Roman"/>
          <w:sz w:val="24"/>
          <w:szCs w:val="24"/>
          <w:lang w:eastAsia="ru-RU"/>
        </w:rPr>
        <w:t xml:space="preserve"> Incubatorului de Afaceri din Cahul oferă susținere antreprenorilor începători din regiune. Companiile incubate pentru o perioadă de 3 ani beneficiază de </w:t>
      </w:r>
      <w:proofErr w:type="gramStart"/>
      <w:r w:rsidRPr="00BA5AE0">
        <w:rPr>
          <w:rFonts w:ascii="Times New Roman" w:eastAsia="Times New Roman" w:hAnsi="Times New Roman"/>
          <w:sz w:val="24"/>
          <w:szCs w:val="24"/>
          <w:lang w:eastAsia="ru-RU"/>
        </w:rPr>
        <w:t>un</w:t>
      </w:r>
      <w:proofErr w:type="gramEnd"/>
      <w:r w:rsidRPr="00BA5AE0">
        <w:rPr>
          <w:rFonts w:ascii="Times New Roman" w:eastAsia="Times New Roman" w:hAnsi="Times New Roman"/>
          <w:sz w:val="24"/>
          <w:szCs w:val="24"/>
          <w:lang w:eastAsia="ru-RU"/>
        </w:rPr>
        <w:t xml:space="preserve"> preţ mai mic pentru chiria spaţiilor de producere și a birourilor, consultanță și instruire antreprenorială gratuită, dar şi de sprijin în dezvoltarea parteneriatelor de afaceri.</w:t>
      </w:r>
    </w:p>
    <w:p w:rsidR="00A93282" w:rsidRPr="00BA5AE0" w:rsidRDefault="00A93282" w:rsidP="006F0779">
      <w:pPr>
        <w:pStyle w:val="aa"/>
        <w:ind w:firstLine="708"/>
        <w:jc w:val="both"/>
        <w:rPr>
          <w:rFonts w:ascii="Times New Roman" w:eastAsia="Times New Roman" w:hAnsi="Times New Roman"/>
          <w:sz w:val="24"/>
          <w:szCs w:val="24"/>
          <w:lang w:eastAsia="ru-RU"/>
        </w:rPr>
      </w:pPr>
    </w:p>
    <w:p w:rsidR="006F0779" w:rsidRPr="00AB4D59" w:rsidRDefault="00A93282" w:rsidP="00A93282">
      <w:pPr>
        <w:ind w:firstLine="708"/>
        <w:jc w:val="both"/>
        <w:rPr>
          <w:rFonts w:ascii="Times New Roman" w:hAnsi="Times New Roman"/>
          <w:sz w:val="24"/>
          <w:szCs w:val="24"/>
          <w:lang w:val="ro-RO"/>
        </w:rPr>
      </w:pPr>
      <w:r w:rsidRPr="00344D11">
        <w:rPr>
          <w:rStyle w:val="ab"/>
          <w:rFonts w:ascii="Times New Roman" w:hAnsi="Times New Roman"/>
          <w:sz w:val="24"/>
          <w:szCs w:val="24"/>
        </w:rPr>
        <w:t xml:space="preserve">Un alt eveniment important pentru mun.Cahul a fost deschiderea </w:t>
      </w:r>
      <w:r w:rsidR="006F0779" w:rsidRPr="00344D11">
        <w:rPr>
          <w:rStyle w:val="ab"/>
          <w:rFonts w:ascii="Times New Roman" w:hAnsi="Times New Roman"/>
          <w:sz w:val="24"/>
          <w:szCs w:val="24"/>
        </w:rPr>
        <w:t>Subzon</w:t>
      </w:r>
      <w:r w:rsidRPr="00344D11">
        <w:rPr>
          <w:rStyle w:val="ab"/>
          <w:rFonts w:ascii="Times New Roman" w:hAnsi="Times New Roman"/>
          <w:sz w:val="24"/>
          <w:szCs w:val="24"/>
        </w:rPr>
        <w:t xml:space="preserve">ei Cahul a ZEL Bălți, care </w:t>
      </w:r>
      <w:r w:rsidR="006F0779" w:rsidRPr="00344D11">
        <w:rPr>
          <w:rStyle w:val="ab"/>
          <w:rFonts w:ascii="Times New Roman" w:hAnsi="Times New Roman"/>
          <w:sz w:val="24"/>
          <w:szCs w:val="24"/>
        </w:rPr>
        <w:t xml:space="preserve">a fost aprobată de  Legea nr.203 din 20 noiembrie 2015 privind completarea articolului 1 din Legea nr. 26 din 4 martie 2010 privind Zona Economică Liberă „Bălți”, </w:t>
      </w:r>
      <w:r w:rsidRPr="00344D11">
        <w:rPr>
          <w:rStyle w:val="ab"/>
          <w:rFonts w:ascii="Times New Roman" w:hAnsi="Times New Roman"/>
          <w:sz w:val="24"/>
          <w:szCs w:val="24"/>
        </w:rPr>
        <w:t xml:space="preserve">  în baza  </w:t>
      </w:r>
      <w:r w:rsidR="006F0779" w:rsidRPr="00344D11">
        <w:rPr>
          <w:rStyle w:val="ab"/>
          <w:rFonts w:ascii="Times New Roman" w:hAnsi="Times New Roman"/>
          <w:sz w:val="24"/>
          <w:szCs w:val="24"/>
        </w:rPr>
        <w:t>Combinatului de producere a materialelor de construcţie „USBA” S.A., clădirea a fost reconstruită</w:t>
      </w:r>
      <w:r w:rsidRPr="00344D11">
        <w:rPr>
          <w:rStyle w:val="ab"/>
          <w:rFonts w:ascii="Times New Roman" w:hAnsi="Times New Roman"/>
          <w:sz w:val="24"/>
          <w:szCs w:val="24"/>
        </w:rPr>
        <w:t xml:space="preserve">,  timp de un an, </w:t>
      </w:r>
      <w:r w:rsidR="006F0779" w:rsidRPr="00344D11">
        <w:rPr>
          <w:rStyle w:val="ab"/>
          <w:rFonts w:ascii="Times New Roman" w:hAnsi="Times New Roman"/>
          <w:sz w:val="24"/>
          <w:szCs w:val="24"/>
        </w:rPr>
        <w:t xml:space="preserve">și are o suprafață de 19 mii m², procesul de extindere a companiei DRAXLMAIER din Cahul a costat peste 20 mln.euro. În vara anului 2018 fabrica grupului DRAXLMAIER şi-a lansat activitatea la Cahul, unde 370 de personae și-au găsit un loc de muncă, iar procesul de producere este în toi. Pînă în toamna anului 2019 planifică </w:t>
      </w:r>
      <w:proofErr w:type="gramStart"/>
      <w:r w:rsidR="006F0779" w:rsidRPr="00344D11">
        <w:rPr>
          <w:rStyle w:val="ab"/>
          <w:rFonts w:ascii="Times New Roman" w:hAnsi="Times New Roman"/>
          <w:sz w:val="24"/>
          <w:szCs w:val="24"/>
        </w:rPr>
        <w:t>să</w:t>
      </w:r>
      <w:proofErr w:type="gramEnd"/>
      <w:r w:rsidR="006F0779" w:rsidRPr="00344D11">
        <w:rPr>
          <w:rStyle w:val="ab"/>
          <w:rFonts w:ascii="Times New Roman" w:hAnsi="Times New Roman"/>
          <w:sz w:val="24"/>
          <w:szCs w:val="24"/>
        </w:rPr>
        <w:t xml:space="preserve"> fie create 1500 locuri de muncă. </w:t>
      </w:r>
      <w:proofErr w:type="gramStart"/>
      <w:r w:rsidR="006F0779" w:rsidRPr="00344D11">
        <w:rPr>
          <w:rStyle w:val="ab"/>
          <w:rFonts w:ascii="Times New Roman" w:hAnsi="Times New Roman"/>
          <w:sz w:val="24"/>
          <w:szCs w:val="24"/>
        </w:rPr>
        <w:t>Fabrica grupului DRAXLMAIER furnizează celor mai importanți producători de automobile sisteme de cablaje moderne, interioare luxoase, componente electrice şi electronice şi sisteme de stocare pentru asigurarea mobilităţii electrice.</w:t>
      </w:r>
      <w:proofErr w:type="gramEnd"/>
      <w:r w:rsidR="006F0779" w:rsidRPr="00344D11">
        <w:rPr>
          <w:rStyle w:val="ab"/>
          <w:rFonts w:ascii="Times New Roman" w:hAnsi="Times New Roman"/>
          <w:sz w:val="24"/>
          <w:szCs w:val="24"/>
        </w:rPr>
        <w:t xml:space="preserve">  </w:t>
      </w:r>
      <w:proofErr w:type="gramStart"/>
      <w:r w:rsidR="006F0779" w:rsidRPr="00344D11">
        <w:rPr>
          <w:rStyle w:val="ab"/>
          <w:rFonts w:ascii="Times New Roman" w:hAnsi="Times New Roman"/>
          <w:sz w:val="24"/>
          <w:szCs w:val="24"/>
        </w:rPr>
        <w:t>se</w:t>
      </w:r>
      <w:proofErr w:type="gramEnd"/>
      <w:r w:rsidR="006F0779" w:rsidRPr="00344D11">
        <w:rPr>
          <w:rStyle w:val="ab"/>
          <w:rFonts w:ascii="Times New Roman" w:hAnsi="Times New Roman"/>
          <w:sz w:val="24"/>
          <w:szCs w:val="24"/>
        </w:rPr>
        <w:t xml:space="preserve"> bucură de succe</w:t>
      </w:r>
      <w:r w:rsidR="006F0779" w:rsidRPr="00AB4D59">
        <w:rPr>
          <w:rFonts w:ascii="Times New Roman" w:hAnsi="Times New Roman"/>
          <w:sz w:val="24"/>
          <w:szCs w:val="24"/>
          <w:lang w:val="ro-RO"/>
        </w:rPr>
        <w:t xml:space="preserve">se. </w:t>
      </w:r>
    </w:p>
    <w:p w:rsidR="00436705" w:rsidRPr="00317E27" w:rsidRDefault="00436705" w:rsidP="00436705">
      <w:pPr>
        <w:pStyle w:val="aa"/>
        <w:tabs>
          <w:tab w:val="left" w:pos="2776"/>
        </w:tabs>
        <w:jc w:val="both"/>
        <w:rPr>
          <w:rFonts w:ascii="Times New Roman" w:hAnsi="Times New Roman"/>
          <w:sz w:val="24"/>
          <w:szCs w:val="24"/>
          <w:lang w:val="ro-RO"/>
        </w:rPr>
      </w:pPr>
      <w:r w:rsidRPr="00317E27">
        <w:rPr>
          <w:rFonts w:ascii="Times New Roman" w:hAnsi="Times New Roman"/>
          <w:sz w:val="24"/>
          <w:szCs w:val="24"/>
          <w:lang w:val="ro-RO"/>
        </w:rPr>
        <w:tab/>
      </w:r>
    </w:p>
    <w:p w:rsidR="00436705" w:rsidRPr="00317E27" w:rsidRDefault="00436705" w:rsidP="00436705">
      <w:pPr>
        <w:spacing w:after="0" w:line="240" w:lineRule="auto"/>
        <w:ind w:left="-540" w:firstLine="540"/>
        <w:jc w:val="both"/>
        <w:rPr>
          <w:rFonts w:ascii="Times New Roman" w:hAnsi="Times New Roman"/>
          <w:b/>
          <w:i/>
          <w:sz w:val="24"/>
          <w:szCs w:val="24"/>
          <w:lang w:val="ro-RO"/>
        </w:rPr>
      </w:pPr>
      <w:r w:rsidRPr="00317E27">
        <w:rPr>
          <w:rFonts w:ascii="Times New Roman" w:hAnsi="Times New Roman"/>
          <w:b/>
          <w:i/>
          <w:sz w:val="24"/>
          <w:szCs w:val="24"/>
          <w:lang w:val="ro-RO"/>
        </w:rPr>
        <w:t>Principalele obiective pentru anul 201</w:t>
      </w:r>
      <w:r w:rsidR="00344D11">
        <w:rPr>
          <w:rFonts w:ascii="Times New Roman" w:hAnsi="Times New Roman"/>
          <w:b/>
          <w:i/>
          <w:sz w:val="24"/>
          <w:szCs w:val="24"/>
          <w:lang w:val="ro-RO"/>
        </w:rPr>
        <w:t>9</w:t>
      </w:r>
      <w:r w:rsidRPr="00317E27">
        <w:rPr>
          <w:rFonts w:ascii="Times New Roman" w:hAnsi="Times New Roman"/>
          <w:b/>
          <w:i/>
          <w:sz w:val="24"/>
          <w:szCs w:val="24"/>
          <w:lang w:val="ro-RO"/>
        </w:rPr>
        <w:t>:</w:t>
      </w:r>
    </w:p>
    <w:p w:rsidR="00436705" w:rsidRPr="00317E27" w:rsidRDefault="00436705" w:rsidP="00436705">
      <w:pPr>
        <w:tabs>
          <w:tab w:val="left" w:pos="1620"/>
        </w:tabs>
        <w:spacing w:after="0" w:line="240" w:lineRule="auto"/>
        <w:jc w:val="both"/>
        <w:rPr>
          <w:rFonts w:ascii="Times New Roman" w:hAnsi="Times New Roman"/>
          <w:sz w:val="24"/>
          <w:szCs w:val="24"/>
          <w:lang w:val="ro-RO"/>
        </w:rPr>
      </w:pPr>
      <w:r w:rsidRPr="00317E27">
        <w:rPr>
          <w:rFonts w:ascii="Times New Roman" w:hAnsi="Times New Roman"/>
          <w:sz w:val="24"/>
          <w:szCs w:val="24"/>
          <w:lang w:val="ro-RO"/>
        </w:rPr>
        <w:t xml:space="preserve">1.Îmbunătăţirea calităţii executării deciziilor Consiliului Raional Cahul, dispoziţiilor preşedintelui şi ordinelor emise.  </w:t>
      </w:r>
    </w:p>
    <w:p w:rsidR="00436705" w:rsidRPr="00317E27" w:rsidRDefault="00436705" w:rsidP="00436705">
      <w:pPr>
        <w:tabs>
          <w:tab w:val="left" w:pos="1620"/>
        </w:tabs>
        <w:spacing w:after="0" w:line="240" w:lineRule="auto"/>
        <w:jc w:val="both"/>
        <w:rPr>
          <w:rFonts w:ascii="Times New Roman" w:hAnsi="Times New Roman"/>
          <w:sz w:val="24"/>
          <w:szCs w:val="24"/>
          <w:lang w:val="ro-RO"/>
        </w:rPr>
      </w:pPr>
      <w:r w:rsidRPr="00317E27">
        <w:rPr>
          <w:rFonts w:ascii="Times New Roman" w:hAnsi="Times New Roman"/>
          <w:sz w:val="24"/>
          <w:szCs w:val="24"/>
          <w:lang w:val="ro-RO"/>
        </w:rPr>
        <w:t>2.</w:t>
      </w:r>
      <w:r w:rsidRPr="00317E27">
        <w:rPr>
          <w:rFonts w:ascii="Times New Roman" w:hAnsi="Times New Roman"/>
          <w:sz w:val="24"/>
          <w:szCs w:val="24"/>
          <w:lang w:val="ro-MO"/>
        </w:rPr>
        <w:t>Monitorizarea implementării  Programului dezvoltare social-economică al raionului Cahul 2017-2020 pentru anul 201</w:t>
      </w:r>
      <w:r w:rsidR="00344D11">
        <w:rPr>
          <w:rFonts w:ascii="Times New Roman" w:hAnsi="Times New Roman"/>
          <w:sz w:val="24"/>
          <w:szCs w:val="24"/>
          <w:lang w:val="ro-MO"/>
        </w:rPr>
        <w:t>9</w:t>
      </w:r>
      <w:r>
        <w:rPr>
          <w:rFonts w:ascii="Times New Roman" w:hAnsi="Times New Roman"/>
          <w:sz w:val="24"/>
          <w:szCs w:val="24"/>
          <w:lang w:val="ro-MO"/>
        </w:rPr>
        <w:t>.</w:t>
      </w:r>
    </w:p>
    <w:p w:rsidR="00436705" w:rsidRPr="00317E27" w:rsidRDefault="00436705" w:rsidP="00436705">
      <w:pPr>
        <w:tabs>
          <w:tab w:val="left" w:pos="1620"/>
        </w:tabs>
        <w:spacing w:after="0" w:line="240" w:lineRule="auto"/>
        <w:jc w:val="both"/>
        <w:rPr>
          <w:rFonts w:ascii="Times New Roman" w:hAnsi="Times New Roman"/>
          <w:sz w:val="24"/>
          <w:szCs w:val="24"/>
          <w:lang w:val="ro-RO"/>
        </w:rPr>
      </w:pPr>
      <w:r w:rsidRPr="00317E27">
        <w:rPr>
          <w:rFonts w:ascii="Times New Roman" w:hAnsi="Times New Roman"/>
          <w:sz w:val="24"/>
          <w:szCs w:val="24"/>
          <w:lang w:val="ro-RO"/>
        </w:rPr>
        <w:lastRenderedPageBreak/>
        <w:t>3.</w:t>
      </w:r>
      <w:r w:rsidRPr="00317E27">
        <w:rPr>
          <w:rFonts w:ascii="Times New Roman" w:hAnsi="Times New Roman"/>
          <w:sz w:val="24"/>
          <w:szCs w:val="24"/>
        </w:rPr>
        <w:t>Organizarea şi petrecerea   procedurilor de achiziţii la bunuri, servicii şi lucrări  în conformitate cu legislaţia  în vigoare.</w:t>
      </w:r>
    </w:p>
    <w:p w:rsidR="00436705" w:rsidRPr="00317E27" w:rsidRDefault="00436705" w:rsidP="00436705">
      <w:pPr>
        <w:tabs>
          <w:tab w:val="left" w:pos="1620"/>
        </w:tabs>
        <w:spacing w:after="0" w:line="240" w:lineRule="auto"/>
        <w:jc w:val="both"/>
        <w:rPr>
          <w:rFonts w:ascii="Times New Roman" w:hAnsi="Times New Roman"/>
          <w:sz w:val="24"/>
          <w:szCs w:val="24"/>
          <w:lang w:val="ro-MO"/>
        </w:rPr>
      </w:pPr>
      <w:r w:rsidRPr="00317E27">
        <w:rPr>
          <w:rFonts w:ascii="Times New Roman" w:hAnsi="Times New Roman"/>
          <w:sz w:val="24"/>
          <w:szCs w:val="24"/>
          <w:lang w:val="ro-RO"/>
        </w:rPr>
        <w:t>4.Pregătirea economiei raionale, complexului energetic şi a sferei sociale pentru activitatea în perioada de toamnă-iarnă 201</w:t>
      </w:r>
      <w:r w:rsidR="00344D11">
        <w:rPr>
          <w:rFonts w:ascii="Times New Roman" w:hAnsi="Times New Roman"/>
          <w:sz w:val="24"/>
          <w:szCs w:val="24"/>
          <w:lang w:val="ro-RO"/>
        </w:rPr>
        <w:t>9</w:t>
      </w:r>
      <w:r w:rsidRPr="00317E27">
        <w:rPr>
          <w:rFonts w:ascii="Times New Roman" w:hAnsi="Times New Roman"/>
          <w:sz w:val="24"/>
          <w:szCs w:val="24"/>
          <w:lang w:val="ro-RO"/>
        </w:rPr>
        <w:t>-20</w:t>
      </w:r>
      <w:r w:rsidR="00344D11">
        <w:rPr>
          <w:rFonts w:ascii="Times New Roman" w:hAnsi="Times New Roman"/>
          <w:sz w:val="24"/>
          <w:szCs w:val="24"/>
          <w:lang w:val="ro-RO"/>
        </w:rPr>
        <w:t>20</w:t>
      </w:r>
      <w:r w:rsidRPr="00317E27">
        <w:rPr>
          <w:rFonts w:ascii="Times New Roman" w:hAnsi="Times New Roman"/>
          <w:sz w:val="24"/>
          <w:szCs w:val="24"/>
          <w:lang w:val="ro-RO"/>
        </w:rPr>
        <w:t xml:space="preserve">. </w:t>
      </w:r>
    </w:p>
    <w:p w:rsidR="00436705" w:rsidRPr="00317E27" w:rsidRDefault="00436705" w:rsidP="00436705">
      <w:pPr>
        <w:tabs>
          <w:tab w:val="left" w:pos="1620"/>
        </w:tabs>
        <w:spacing w:after="0" w:line="240" w:lineRule="auto"/>
        <w:jc w:val="both"/>
        <w:rPr>
          <w:rFonts w:ascii="Times New Roman" w:hAnsi="Times New Roman"/>
          <w:sz w:val="24"/>
          <w:szCs w:val="24"/>
          <w:lang w:val="ro-RO"/>
        </w:rPr>
      </w:pPr>
      <w:r w:rsidRPr="00317E27">
        <w:rPr>
          <w:rFonts w:ascii="Times New Roman" w:hAnsi="Times New Roman"/>
          <w:sz w:val="24"/>
          <w:szCs w:val="24"/>
          <w:lang w:val="ro-MO"/>
        </w:rPr>
        <w:t>5.</w:t>
      </w:r>
      <w:r w:rsidRPr="00317E27">
        <w:rPr>
          <w:rFonts w:ascii="Times New Roman" w:hAnsi="Times New Roman"/>
          <w:sz w:val="24"/>
          <w:szCs w:val="24"/>
        </w:rPr>
        <w:t>Asigurarea organizării şi desfăşurării şedinţelor comisiilor de importanţă raională şi altor activităţi.</w:t>
      </w:r>
      <w:r w:rsidRPr="00317E27">
        <w:rPr>
          <w:rFonts w:ascii="Times New Roman" w:hAnsi="Times New Roman"/>
          <w:sz w:val="24"/>
          <w:szCs w:val="24"/>
          <w:lang w:val="ro-RO"/>
        </w:rPr>
        <w:t xml:space="preserve"> </w:t>
      </w:r>
    </w:p>
    <w:p w:rsidR="00436705" w:rsidRPr="00317E27" w:rsidRDefault="00436705" w:rsidP="00436705">
      <w:pPr>
        <w:spacing w:after="0"/>
        <w:ind w:right="-4198"/>
        <w:jc w:val="both"/>
        <w:rPr>
          <w:rFonts w:ascii="Times New Roman" w:hAnsi="Times New Roman"/>
          <w:sz w:val="24"/>
          <w:szCs w:val="24"/>
          <w:lang w:val="ro-RO"/>
        </w:rPr>
      </w:pPr>
    </w:p>
    <w:p w:rsidR="00436705" w:rsidRPr="00317E27" w:rsidRDefault="00436705" w:rsidP="00436705">
      <w:pPr>
        <w:tabs>
          <w:tab w:val="left" w:pos="1620"/>
        </w:tabs>
        <w:spacing w:after="0" w:line="240" w:lineRule="auto"/>
        <w:jc w:val="both"/>
        <w:rPr>
          <w:rFonts w:ascii="Times New Roman" w:hAnsi="Times New Roman"/>
          <w:b/>
          <w:sz w:val="24"/>
          <w:szCs w:val="24"/>
          <w:lang w:val="ro-RO"/>
        </w:rPr>
      </w:pPr>
      <w:r w:rsidRPr="00317E27">
        <w:rPr>
          <w:rFonts w:ascii="Times New Roman" w:hAnsi="Times New Roman"/>
          <w:b/>
          <w:sz w:val="24"/>
          <w:szCs w:val="24"/>
          <w:lang w:val="ro-RO"/>
        </w:rPr>
        <w:t xml:space="preserve"> Şef adjunct</w:t>
      </w:r>
    </w:p>
    <w:p w:rsidR="00436705" w:rsidRPr="00317E27" w:rsidRDefault="00436705" w:rsidP="00436705">
      <w:pPr>
        <w:spacing w:after="0" w:line="240" w:lineRule="auto"/>
        <w:jc w:val="both"/>
        <w:rPr>
          <w:sz w:val="24"/>
          <w:szCs w:val="24"/>
          <w:lang w:val="ro-RO"/>
        </w:rPr>
      </w:pPr>
      <w:r w:rsidRPr="00317E27">
        <w:rPr>
          <w:rFonts w:ascii="Times New Roman" w:hAnsi="Times New Roman"/>
          <w:b/>
          <w:sz w:val="24"/>
          <w:szCs w:val="24"/>
          <w:lang w:val="ro-RO"/>
        </w:rPr>
        <w:t xml:space="preserve"> Direcţia agricultură</w:t>
      </w:r>
      <w:r>
        <w:rPr>
          <w:rFonts w:ascii="Times New Roman" w:hAnsi="Times New Roman"/>
          <w:b/>
          <w:sz w:val="24"/>
          <w:szCs w:val="24"/>
          <w:lang w:val="ro-RO"/>
        </w:rPr>
        <w:t xml:space="preserve"> </w:t>
      </w:r>
      <w:r w:rsidRPr="00317E27">
        <w:rPr>
          <w:rFonts w:ascii="Times New Roman" w:hAnsi="Times New Roman"/>
          <w:b/>
          <w:sz w:val="24"/>
          <w:szCs w:val="24"/>
          <w:lang w:val="ro-RO"/>
        </w:rPr>
        <w:t xml:space="preserve"> şi dezvoltare economică                             </w:t>
      </w:r>
      <w:r>
        <w:rPr>
          <w:rFonts w:ascii="Times New Roman" w:hAnsi="Times New Roman"/>
          <w:b/>
          <w:sz w:val="24"/>
          <w:szCs w:val="24"/>
          <w:lang w:val="ro-RO"/>
        </w:rPr>
        <w:t xml:space="preserve">                   </w:t>
      </w:r>
      <w:r w:rsidRPr="00317E27">
        <w:rPr>
          <w:rFonts w:ascii="Times New Roman" w:hAnsi="Times New Roman"/>
          <w:b/>
          <w:sz w:val="24"/>
          <w:szCs w:val="24"/>
          <w:lang w:val="ro-RO"/>
        </w:rPr>
        <w:t xml:space="preserve"> Janeta Gheţiu        </w:t>
      </w:r>
    </w:p>
    <w:p w:rsidR="00436705" w:rsidRPr="0047432D" w:rsidRDefault="00436705" w:rsidP="00436705">
      <w:pPr>
        <w:rPr>
          <w:lang w:val="ro-RO"/>
        </w:rPr>
      </w:pPr>
    </w:p>
    <w:p w:rsidR="00D9299D" w:rsidRPr="00436705" w:rsidRDefault="00D9299D">
      <w:pPr>
        <w:rPr>
          <w:lang w:val="ro-RO"/>
        </w:rPr>
      </w:pPr>
    </w:p>
    <w:sectPr w:rsidR="00D9299D" w:rsidRPr="00436705" w:rsidSect="006D0EC1">
      <w:footerReference w:type="default" r:id="rId11"/>
      <w:pgSz w:w="11906" w:h="16838"/>
      <w:pgMar w:top="568"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736" w:rsidRDefault="006F3736" w:rsidP="00CC4606">
      <w:pPr>
        <w:spacing w:after="0" w:line="240" w:lineRule="auto"/>
      </w:pPr>
      <w:r>
        <w:separator/>
      </w:r>
    </w:p>
  </w:endnote>
  <w:endnote w:type="continuationSeparator" w:id="0">
    <w:p w:rsidR="006F3736" w:rsidRDefault="006F3736" w:rsidP="00CC46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06203"/>
      <w:docPartObj>
        <w:docPartGallery w:val="Page Numbers (Bottom of Page)"/>
        <w:docPartUnique/>
      </w:docPartObj>
    </w:sdtPr>
    <w:sdtContent>
      <w:p w:rsidR="00760596" w:rsidRDefault="00F120F0">
        <w:pPr>
          <w:pStyle w:val="af7"/>
          <w:jc w:val="right"/>
        </w:pPr>
        <w:fldSimple w:instr=" PAGE   \* MERGEFORMAT ">
          <w:r w:rsidR="003250F8">
            <w:rPr>
              <w:noProof/>
            </w:rPr>
            <w:t>9</w:t>
          </w:r>
        </w:fldSimple>
      </w:p>
    </w:sdtContent>
  </w:sdt>
  <w:p w:rsidR="00760596" w:rsidRDefault="0076059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736" w:rsidRDefault="006F3736" w:rsidP="00CC4606">
      <w:pPr>
        <w:spacing w:after="0" w:line="240" w:lineRule="auto"/>
      </w:pPr>
      <w:r>
        <w:separator/>
      </w:r>
    </w:p>
  </w:footnote>
  <w:footnote w:type="continuationSeparator" w:id="0">
    <w:p w:rsidR="006F3736" w:rsidRDefault="006F3736" w:rsidP="00CC46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56896"/>
    <w:multiLevelType w:val="hybridMultilevel"/>
    <w:tmpl w:val="228256A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D">
      <w:start w:val="1"/>
      <w:numFmt w:val="bullet"/>
      <w:lvlText w:val=""/>
      <w:lvlJc w:val="left"/>
      <w:pPr>
        <w:ind w:left="3600" w:hanging="360"/>
      </w:pPr>
      <w:rPr>
        <w:rFonts w:ascii="Wingdings" w:hAnsi="Wingdings" w:hint="default"/>
      </w:r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F962151"/>
    <w:multiLevelType w:val="hybridMultilevel"/>
    <w:tmpl w:val="B7EC8366"/>
    <w:lvl w:ilvl="0" w:tplc="0419000D">
      <w:start w:val="1"/>
      <w:numFmt w:val="bullet"/>
      <w:lvlText w:val=""/>
      <w:lvlJc w:val="left"/>
      <w:pPr>
        <w:ind w:left="890" w:hanging="360"/>
      </w:pPr>
      <w:rPr>
        <w:rFonts w:ascii="Wingdings" w:hAnsi="Wingdings"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2">
    <w:nsid w:val="16197A2C"/>
    <w:multiLevelType w:val="multilevel"/>
    <w:tmpl w:val="B3647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2520EA"/>
    <w:multiLevelType w:val="hybridMultilevel"/>
    <w:tmpl w:val="0374E6CE"/>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4">
    <w:nsid w:val="43B71837"/>
    <w:multiLevelType w:val="hybridMultilevel"/>
    <w:tmpl w:val="916C4AA8"/>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E321366"/>
    <w:multiLevelType w:val="hybridMultilevel"/>
    <w:tmpl w:val="B97A0DA6"/>
    <w:lvl w:ilvl="0" w:tplc="F2368D3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03259B4"/>
    <w:multiLevelType w:val="hybridMultilevel"/>
    <w:tmpl w:val="3B4C4F80"/>
    <w:lvl w:ilvl="0" w:tplc="3DC895B2">
      <w:start w:val="1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2E80196"/>
    <w:multiLevelType w:val="hybridMultilevel"/>
    <w:tmpl w:val="C184A08E"/>
    <w:lvl w:ilvl="0" w:tplc="899A5670">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740124DE"/>
    <w:multiLevelType w:val="hybridMultilevel"/>
    <w:tmpl w:val="37982646"/>
    <w:lvl w:ilvl="0" w:tplc="04190001">
      <w:start w:val="1"/>
      <w:numFmt w:val="bullet"/>
      <w:lvlText w:val=""/>
      <w:lvlJc w:val="left"/>
      <w:pPr>
        <w:tabs>
          <w:tab w:val="num" w:pos="1428"/>
        </w:tabs>
        <w:ind w:left="1428" w:hanging="360"/>
      </w:pPr>
      <w:rPr>
        <w:rFonts w:ascii="Symbol" w:hAnsi="Symbol" w:hint="default"/>
      </w:rPr>
    </w:lvl>
    <w:lvl w:ilvl="1" w:tplc="AF20F6B8">
      <w:numFmt w:val="bullet"/>
      <w:lvlText w:val="-"/>
      <w:lvlJc w:val="left"/>
      <w:pPr>
        <w:tabs>
          <w:tab w:val="num" w:pos="2148"/>
        </w:tabs>
        <w:ind w:left="2148"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5267832"/>
    <w:multiLevelType w:val="hybridMultilevel"/>
    <w:tmpl w:val="B37AF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4"/>
  </w:num>
  <w:num w:numId="8">
    <w:abstractNumId w:val="2"/>
  </w:num>
  <w:num w:numId="9">
    <w:abstractNumId w:val="6"/>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proofState w:grammar="clean"/>
  <w:defaultTabStop w:val="708"/>
  <w:characterSpacingControl w:val="doNotCompress"/>
  <w:footnotePr>
    <w:footnote w:id="-1"/>
    <w:footnote w:id="0"/>
  </w:footnotePr>
  <w:endnotePr>
    <w:endnote w:id="-1"/>
    <w:endnote w:id="0"/>
  </w:endnotePr>
  <w:compat/>
  <w:rsids>
    <w:rsidRoot w:val="00436705"/>
    <w:rsid w:val="00053246"/>
    <w:rsid w:val="00062641"/>
    <w:rsid w:val="000B742C"/>
    <w:rsid w:val="00115D59"/>
    <w:rsid w:val="001A1AC8"/>
    <w:rsid w:val="001B11BC"/>
    <w:rsid w:val="002148BD"/>
    <w:rsid w:val="00246735"/>
    <w:rsid w:val="00246E98"/>
    <w:rsid w:val="00246EA6"/>
    <w:rsid w:val="002833D1"/>
    <w:rsid w:val="002A1146"/>
    <w:rsid w:val="002E7482"/>
    <w:rsid w:val="003250F8"/>
    <w:rsid w:val="00344D11"/>
    <w:rsid w:val="003F641F"/>
    <w:rsid w:val="00401AC8"/>
    <w:rsid w:val="00436705"/>
    <w:rsid w:val="004B3272"/>
    <w:rsid w:val="004C3904"/>
    <w:rsid w:val="004D07B2"/>
    <w:rsid w:val="005029B9"/>
    <w:rsid w:val="00533C71"/>
    <w:rsid w:val="00534573"/>
    <w:rsid w:val="005821AD"/>
    <w:rsid w:val="006B4760"/>
    <w:rsid w:val="006D0EC1"/>
    <w:rsid w:val="006F0779"/>
    <w:rsid w:val="006F3736"/>
    <w:rsid w:val="00760596"/>
    <w:rsid w:val="007A1215"/>
    <w:rsid w:val="007C5163"/>
    <w:rsid w:val="00805E27"/>
    <w:rsid w:val="00821DE1"/>
    <w:rsid w:val="00864A51"/>
    <w:rsid w:val="008C7DFC"/>
    <w:rsid w:val="008D1C1E"/>
    <w:rsid w:val="00903CCB"/>
    <w:rsid w:val="00913CFC"/>
    <w:rsid w:val="00927C92"/>
    <w:rsid w:val="00935222"/>
    <w:rsid w:val="00967D59"/>
    <w:rsid w:val="009A03E2"/>
    <w:rsid w:val="00A01351"/>
    <w:rsid w:val="00A93282"/>
    <w:rsid w:val="00AB7A26"/>
    <w:rsid w:val="00B23EE9"/>
    <w:rsid w:val="00BB44A0"/>
    <w:rsid w:val="00BE5826"/>
    <w:rsid w:val="00CC4606"/>
    <w:rsid w:val="00CD2D5C"/>
    <w:rsid w:val="00CD3615"/>
    <w:rsid w:val="00D9299D"/>
    <w:rsid w:val="00DB5A0B"/>
    <w:rsid w:val="00E177F0"/>
    <w:rsid w:val="00E916BB"/>
    <w:rsid w:val="00F120F0"/>
    <w:rsid w:val="00F276BD"/>
    <w:rsid w:val="00F34979"/>
    <w:rsid w:val="00F93E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705"/>
    <w:pPr>
      <w:spacing w:line="276" w:lineRule="auto"/>
    </w:pPr>
    <w:rPr>
      <w:rFonts w:ascii="Calibri" w:eastAsia="Calibri" w:hAnsi="Calibri" w:cs="Times New Roman"/>
      <w:lang w:bidi="ar-SA"/>
    </w:rPr>
  </w:style>
  <w:style w:type="paragraph" w:styleId="1">
    <w:name w:val="heading 1"/>
    <w:basedOn w:val="a"/>
    <w:next w:val="a"/>
    <w:link w:val="10"/>
    <w:uiPriority w:val="9"/>
    <w:qFormat/>
    <w:rsid w:val="00805E27"/>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unhideWhenUsed/>
    <w:qFormat/>
    <w:rsid w:val="00805E27"/>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unhideWhenUsed/>
    <w:qFormat/>
    <w:rsid w:val="00805E27"/>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805E27"/>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805E27"/>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805E27"/>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805E27"/>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805E27"/>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805E27"/>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5E27"/>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rsid w:val="00805E27"/>
    <w:rPr>
      <w:caps/>
      <w:color w:val="632423" w:themeColor="accent2" w:themeShade="80"/>
      <w:spacing w:val="15"/>
      <w:sz w:val="24"/>
      <w:szCs w:val="24"/>
    </w:rPr>
  </w:style>
  <w:style w:type="character" w:customStyle="1" w:styleId="30">
    <w:name w:val="Заголовок 3 Знак"/>
    <w:basedOn w:val="a0"/>
    <w:link w:val="3"/>
    <w:uiPriority w:val="9"/>
    <w:rsid w:val="00805E27"/>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805E27"/>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805E27"/>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805E27"/>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805E27"/>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805E27"/>
    <w:rPr>
      <w:rFonts w:eastAsiaTheme="majorEastAsia" w:cstheme="majorBidi"/>
      <w:caps/>
      <w:spacing w:val="10"/>
      <w:sz w:val="20"/>
      <w:szCs w:val="20"/>
    </w:rPr>
  </w:style>
  <w:style w:type="character" w:customStyle="1" w:styleId="90">
    <w:name w:val="Заголовок 9 Знак"/>
    <w:basedOn w:val="a0"/>
    <w:link w:val="9"/>
    <w:uiPriority w:val="9"/>
    <w:semiHidden/>
    <w:rsid w:val="00805E27"/>
    <w:rPr>
      <w:rFonts w:eastAsiaTheme="majorEastAsia" w:cstheme="majorBidi"/>
      <w:i/>
      <w:iCs/>
      <w:caps/>
      <w:spacing w:val="10"/>
      <w:sz w:val="20"/>
      <w:szCs w:val="20"/>
    </w:rPr>
  </w:style>
  <w:style w:type="paragraph" w:styleId="a3">
    <w:name w:val="caption"/>
    <w:basedOn w:val="a"/>
    <w:next w:val="a"/>
    <w:uiPriority w:val="35"/>
    <w:semiHidden/>
    <w:unhideWhenUsed/>
    <w:qFormat/>
    <w:rsid w:val="00805E27"/>
    <w:rPr>
      <w:caps/>
      <w:spacing w:val="10"/>
      <w:sz w:val="18"/>
      <w:szCs w:val="18"/>
    </w:rPr>
  </w:style>
  <w:style w:type="paragraph" w:styleId="a4">
    <w:name w:val="Title"/>
    <w:basedOn w:val="a"/>
    <w:next w:val="a"/>
    <w:link w:val="a5"/>
    <w:uiPriority w:val="10"/>
    <w:qFormat/>
    <w:rsid w:val="00805E27"/>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5">
    <w:name w:val="Название Знак"/>
    <w:basedOn w:val="a0"/>
    <w:link w:val="a4"/>
    <w:uiPriority w:val="10"/>
    <w:rsid w:val="00805E27"/>
    <w:rPr>
      <w:rFonts w:eastAsiaTheme="majorEastAsia" w:cstheme="majorBidi"/>
      <w:caps/>
      <w:color w:val="632423" w:themeColor="accent2" w:themeShade="80"/>
      <w:spacing w:val="50"/>
      <w:sz w:val="44"/>
      <w:szCs w:val="44"/>
    </w:rPr>
  </w:style>
  <w:style w:type="paragraph" w:styleId="a6">
    <w:name w:val="Subtitle"/>
    <w:basedOn w:val="a"/>
    <w:next w:val="a"/>
    <w:link w:val="a7"/>
    <w:uiPriority w:val="11"/>
    <w:qFormat/>
    <w:rsid w:val="00805E27"/>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805E27"/>
    <w:rPr>
      <w:rFonts w:eastAsiaTheme="majorEastAsia" w:cstheme="majorBidi"/>
      <w:caps/>
      <w:spacing w:val="20"/>
      <w:sz w:val="18"/>
      <w:szCs w:val="18"/>
    </w:rPr>
  </w:style>
  <w:style w:type="character" w:styleId="a8">
    <w:name w:val="Strong"/>
    <w:uiPriority w:val="22"/>
    <w:qFormat/>
    <w:rsid w:val="00805E27"/>
    <w:rPr>
      <w:b/>
      <w:bCs/>
      <w:color w:val="943634" w:themeColor="accent2" w:themeShade="BF"/>
      <w:spacing w:val="5"/>
    </w:rPr>
  </w:style>
  <w:style w:type="character" w:styleId="a9">
    <w:name w:val="Emphasis"/>
    <w:uiPriority w:val="20"/>
    <w:qFormat/>
    <w:rsid w:val="00805E27"/>
    <w:rPr>
      <w:caps/>
      <w:spacing w:val="5"/>
      <w:sz w:val="20"/>
      <w:szCs w:val="20"/>
    </w:rPr>
  </w:style>
  <w:style w:type="paragraph" w:styleId="aa">
    <w:name w:val="No Spacing"/>
    <w:basedOn w:val="a"/>
    <w:link w:val="ab"/>
    <w:uiPriority w:val="1"/>
    <w:qFormat/>
    <w:rsid w:val="00805E27"/>
    <w:pPr>
      <w:spacing w:after="0" w:line="240" w:lineRule="auto"/>
    </w:pPr>
  </w:style>
  <w:style w:type="character" w:customStyle="1" w:styleId="ab">
    <w:name w:val="Без интервала Знак"/>
    <w:basedOn w:val="a0"/>
    <w:link w:val="aa"/>
    <w:uiPriority w:val="1"/>
    <w:rsid w:val="00805E27"/>
  </w:style>
  <w:style w:type="paragraph" w:styleId="ac">
    <w:name w:val="List Paragraph"/>
    <w:basedOn w:val="a"/>
    <w:uiPriority w:val="34"/>
    <w:qFormat/>
    <w:rsid w:val="00805E27"/>
    <w:pPr>
      <w:ind w:left="720"/>
      <w:contextualSpacing/>
    </w:pPr>
  </w:style>
  <w:style w:type="paragraph" w:styleId="21">
    <w:name w:val="Quote"/>
    <w:basedOn w:val="a"/>
    <w:next w:val="a"/>
    <w:link w:val="22"/>
    <w:uiPriority w:val="29"/>
    <w:qFormat/>
    <w:rsid w:val="00805E27"/>
    <w:rPr>
      <w:i/>
      <w:iCs/>
    </w:rPr>
  </w:style>
  <w:style w:type="character" w:customStyle="1" w:styleId="22">
    <w:name w:val="Цитата 2 Знак"/>
    <w:basedOn w:val="a0"/>
    <w:link w:val="21"/>
    <w:uiPriority w:val="29"/>
    <w:rsid w:val="00805E27"/>
    <w:rPr>
      <w:rFonts w:eastAsiaTheme="majorEastAsia" w:cstheme="majorBidi"/>
      <w:i/>
      <w:iCs/>
    </w:rPr>
  </w:style>
  <w:style w:type="paragraph" w:styleId="ad">
    <w:name w:val="Intense Quote"/>
    <w:basedOn w:val="a"/>
    <w:next w:val="a"/>
    <w:link w:val="ae"/>
    <w:uiPriority w:val="30"/>
    <w:qFormat/>
    <w:rsid w:val="00805E27"/>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e">
    <w:name w:val="Выделенная цитата Знак"/>
    <w:basedOn w:val="a0"/>
    <w:link w:val="ad"/>
    <w:uiPriority w:val="30"/>
    <w:rsid w:val="00805E27"/>
    <w:rPr>
      <w:rFonts w:eastAsiaTheme="majorEastAsia" w:cstheme="majorBidi"/>
      <w:caps/>
      <w:color w:val="622423" w:themeColor="accent2" w:themeShade="7F"/>
      <w:spacing w:val="5"/>
      <w:sz w:val="20"/>
      <w:szCs w:val="20"/>
    </w:rPr>
  </w:style>
  <w:style w:type="character" w:styleId="af">
    <w:name w:val="Subtle Emphasis"/>
    <w:uiPriority w:val="19"/>
    <w:qFormat/>
    <w:rsid w:val="00805E27"/>
    <w:rPr>
      <w:i/>
      <w:iCs/>
    </w:rPr>
  </w:style>
  <w:style w:type="character" w:styleId="af0">
    <w:name w:val="Intense Emphasis"/>
    <w:uiPriority w:val="21"/>
    <w:qFormat/>
    <w:rsid w:val="00805E27"/>
    <w:rPr>
      <w:i/>
      <w:iCs/>
      <w:caps/>
      <w:spacing w:val="10"/>
      <w:sz w:val="20"/>
      <w:szCs w:val="20"/>
    </w:rPr>
  </w:style>
  <w:style w:type="character" w:styleId="af1">
    <w:name w:val="Subtle Reference"/>
    <w:basedOn w:val="a0"/>
    <w:uiPriority w:val="31"/>
    <w:qFormat/>
    <w:rsid w:val="00805E27"/>
    <w:rPr>
      <w:rFonts w:asciiTheme="minorHAnsi" w:eastAsiaTheme="minorEastAsia" w:hAnsiTheme="minorHAnsi" w:cstheme="minorBidi"/>
      <w:i/>
      <w:iCs/>
      <w:color w:val="622423" w:themeColor="accent2" w:themeShade="7F"/>
    </w:rPr>
  </w:style>
  <w:style w:type="character" w:styleId="af2">
    <w:name w:val="Intense Reference"/>
    <w:uiPriority w:val="32"/>
    <w:qFormat/>
    <w:rsid w:val="00805E27"/>
    <w:rPr>
      <w:rFonts w:asciiTheme="minorHAnsi" w:eastAsiaTheme="minorEastAsia" w:hAnsiTheme="minorHAnsi" w:cstheme="minorBidi"/>
      <w:b/>
      <w:bCs/>
      <w:i/>
      <w:iCs/>
      <w:color w:val="622423" w:themeColor="accent2" w:themeShade="7F"/>
    </w:rPr>
  </w:style>
  <w:style w:type="character" w:styleId="af3">
    <w:name w:val="Book Title"/>
    <w:uiPriority w:val="33"/>
    <w:qFormat/>
    <w:rsid w:val="00805E27"/>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805E27"/>
    <w:pPr>
      <w:outlineLvl w:val="9"/>
    </w:pPr>
  </w:style>
  <w:style w:type="paragraph" w:styleId="af5">
    <w:name w:val="Body Text Indent"/>
    <w:basedOn w:val="a"/>
    <w:link w:val="af6"/>
    <w:unhideWhenUsed/>
    <w:rsid w:val="00436705"/>
    <w:pPr>
      <w:spacing w:before="60" w:after="60" w:line="240" w:lineRule="auto"/>
      <w:ind w:firstLine="709"/>
      <w:jc w:val="both"/>
    </w:pPr>
    <w:rPr>
      <w:rFonts w:ascii="Times New Roman" w:eastAsia="Times New Roman" w:hAnsi="Times New Roman"/>
      <w:sz w:val="26"/>
      <w:szCs w:val="26"/>
      <w:lang w:val="ro-RO" w:eastAsia="ru-RU"/>
    </w:rPr>
  </w:style>
  <w:style w:type="character" w:customStyle="1" w:styleId="af6">
    <w:name w:val="Основной текст с отступом Знак"/>
    <w:basedOn w:val="a0"/>
    <w:link w:val="af5"/>
    <w:rsid w:val="00436705"/>
    <w:rPr>
      <w:rFonts w:ascii="Times New Roman" w:eastAsia="Times New Roman" w:hAnsi="Times New Roman" w:cs="Times New Roman"/>
      <w:sz w:val="26"/>
      <w:szCs w:val="26"/>
      <w:lang w:val="ro-RO" w:eastAsia="ru-RU" w:bidi="ar-SA"/>
    </w:rPr>
  </w:style>
  <w:style w:type="paragraph" w:styleId="31">
    <w:name w:val="Body Text 3"/>
    <w:basedOn w:val="a"/>
    <w:link w:val="32"/>
    <w:uiPriority w:val="99"/>
    <w:semiHidden/>
    <w:unhideWhenUsed/>
    <w:rsid w:val="00436705"/>
    <w:pPr>
      <w:spacing w:after="120"/>
    </w:pPr>
    <w:rPr>
      <w:sz w:val="16"/>
      <w:szCs w:val="16"/>
    </w:rPr>
  </w:style>
  <w:style w:type="character" w:customStyle="1" w:styleId="32">
    <w:name w:val="Основной текст 3 Знак"/>
    <w:basedOn w:val="a0"/>
    <w:link w:val="31"/>
    <w:uiPriority w:val="99"/>
    <w:semiHidden/>
    <w:rsid w:val="00436705"/>
    <w:rPr>
      <w:rFonts w:ascii="Calibri" w:eastAsia="Calibri" w:hAnsi="Calibri" w:cs="Times New Roman"/>
      <w:sz w:val="16"/>
      <w:szCs w:val="16"/>
      <w:lang w:bidi="ar-SA"/>
    </w:rPr>
  </w:style>
  <w:style w:type="character" w:customStyle="1" w:styleId="Textul">
    <w:name w:val="Textul Знак"/>
    <w:link w:val="Textul0"/>
    <w:locked/>
    <w:rsid w:val="00436705"/>
    <w:rPr>
      <w:sz w:val="24"/>
      <w:szCs w:val="24"/>
      <w:lang w:val="ro-RO" w:eastAsia="ar-SA"/>
    </w:rPr>
  </w:style>
  <w:style w:type="paragraph" w:customStyle="1" w:styleId="Textul0">
    <w:name w:val="Textul"/>
    <w:basedOn w:val="a"/>
    <w:link w:val="Textul"/>
    <w:rsid w:val="00436705"/>
    <w:pPr>
      <w:suppressAutoHyphens/>
      <w:spacing w:after="0" w:line="240" w:lineRule="auto"/>
      <w:ind w:firstLine="851"/>
      <w:jc w:val="both"/>
    </w:pPr>
    <w:rPr>
      <w:rFonts w:asciiTheme="majorHAnsi" w:eastAsiaTheme="minorHAnsi" w:hAnsiTheme="majorHAnsi" w:cstheme="majorBidi"/>
      <w:sz w:val="24"/>
      <w:szCs w:val="24"/>
      <w:lang w:val="ro-RO" w:eastAsia="ar-SA" w:bidi="en-US"/>
    </w:rPr>
  </w:style>
  <w:style w:type="paragraph" w:customStyle="1" w:styleId="Titlulcompartimentelor">
    <w:name w:val="Titlul compartimentelor"/>
    <w:basedOn w:val="Textul0"/>
    <w:next w:val="Textul0"/>
    <w:rsid w:val="00436705"/>
    <w:pPr>
      <w:ind w:firstLine="0"/>
      <w:jc w:val="center"/>
      <w:outlineLvl w:val="0"/>
    </w:pPr>
    <w:rPr>
      <w:rFonts w:ascii="Times New Roman" w:eastAsia="Times New Roman" w:hAnsi="Times New Roman"/>
      <w:b/>
    </w:rPr>
  </w:style>
  <w:style w:type="paragraph" w:styleId="af7">
    <w:name w:val="footer"/>
    <w:basedOn w:val="a"/>
    <w:link w:val="af8"/>
    <w:uiPriority w:val="99"/>
    <w:unhideWhenUsed/>
    <w:rsid w:val="00436705"/>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436705"/>
    <w:rPr>
      <w:rFonts w:ascii="Calibri" w:eastAsia="Calibri" w:hAnsi="Calibri" w:cs="Times New Roman"/>
      <w:lang w:bidi="ar-SA"/>
    </w:rPr>
  </w:style>
  <w:style w:type="paragraph" w:styleId="af9">
    <w:name w:val="Balloon Text"/>
    <w:basedOn w:val="a"/>
    <w:link w:val="afa"/>
    <w:uiPriority w:val="99"/>
    <w:semiHidden/>
    <w:unhideWhenUsed/>
    <w:rsid w:val="003F641F"/>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3F641F"/>
    <w:rPr>
      <w:rFonts w:ascii="Tahoma" w:eastAsia="Calibri" w:hAnsi="Tahoma" w:cs="Tahoma"/>
      <w:sz w:val="16"/>
      <w:szCs w:val="16"/>
      <w:lang w:bidi="ar-SA"/>
    </w:rPr>
  </w:style>
  <w:style w:type="character" w:styleId="afb">
    <w:name w:val="footnote reference"/>
    <w:semiHidden/>
    <w:rsid w:val="00CC4606"/>
    <w:rPr>
      <w:vertAlign w:val="superscript"/>
    </w:rPr>
  </w:style>
  <w:style w:type="paragraph" w:styleId="afc">
    <w:name w:val="footnote text"/>
    <w:basedOn w:val="a"/>
    <w:link w:val="afd"/>
    <w:semiHidden/>
    <w:rsid w:val="00CC4606"/>
    <w:pPr>
      <w:spacing w:after="0" w:line="240" w:lineRule="auto"/>
    </w:pPr>
    <w:rPr>
      <w:rFonts w:ascii="Times New Roman" w:eastAsia="Times New Roman" w:hAnsi="Times New Roman"/>
      <w:noProof/>
      <w:sz w:val="20"/>
      <w:szCs w:val="20"/>
      <w:lang w:val="ru-RU" w:eastAsia="ru-RU"/>
    </w:rPr>
  </w:style>
  <w:style w:type="character" w:customStyle="1" w:styleId="afd">
    <w:name w:val="Текст сноски Знак"/>
    <w:basedOn w:val="a0"/>
    <w:link w:val="afc"/>
    <w:semiHidden/>
    <w:rsid w:val="00CC4606"/>
    <w:rPr>
      <w:rFonts w:ascii="Times New Roman" w:eastAsia="Times New Roman" w:hAnsi="Times New Roman" w:cs="Times New Roman"/>
      <w:noProof/>
      <w:sz w:val="20"/>
      <w:szCs w:val="20"/>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D:\usb\&#1052;&#1086;&#1080;%20&#1076;&#1086;&#1082;&#1091;&#1084;&#1077;&#1085;&#1090;&#1099;\Agricultura\diagrame%202018%20agricultur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usb\&#1052;&#1086;&#1080;%20&#1076;&#1086;&#1082;&#1091;&#1084;&#1077;&#1085;&#1090;&#1099;\Agricultura\diagrame%202018%20agricultur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b\&#1052;&#1086;&#1080;%20&#1076;&#1086;&#1082;&#1091;&#1084;&#1077;&#1085;&#1090;&#1099;\Agricultura\diagrame%202018%20agricultur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b\&#1052;&#1086;&#1080;%20&#1076;&#1086;&#1082;&#1091;&#1084;&#1077;&#1085;&#1090;&#1099;\Agricultura\diagrame%202018%20agricultur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dLbls>
            <c:txPr>
              <a:bodyPr/>
              <a:lstStyle/>
              <a:p>
                <a:pPr>
                  <a:defRPr sz="1200" b="1">
                    <a:latin typeface="Times New Roman" pitchFamily="18" charset="0"/>
                    <a:cs typeface="Times New Roman" pitchFamily="18" charset="0"/>
                  </a:defRPr>
                </a:pPr>
                <a:endParaRPr lang="ru-RU"/>
              </a:p>
            </c:txPr>
            <c:showVal val="1"/>
            <c:showCatName val="1"/>
            <c:showLeaderLines val="1"/>
          </c:dLbls>
          <c:cat>
            <c:strRef>
              <c:f>Лист1!$D$22:$I$22</c:f>
              <c:strCache>
                <c:ptCount val="6"/>
                <c:pt idx="0">
                  <c:v>Arabil</c:v>
                </c:pt>
                <c:pt idx="1">
                  <c:v>Vii</c:v>
                </c:pt>
                <c:pt idx="2">
                  <c:v>Livezi</c:v>
                </c:pt>
                <c:pt idx="3">
                  <c:v>Alte plant. multianuale</c:v>
                </c:pt>
                <c:pt idx="4">
                  <c:v>Pârloagă</c:v>
                </c:pt>
                <c:pt idx="5">
                  <c:v>Pășuni</c:v>
                </c:pt>
              </c:strCache>
            </c:strRef>
          </c:cat>
          <c:val>
            <c:numRef>
              <c:f>Лист1!$D$23:$I$23</c:f>
              <c:numCache>
                <c:formatCode>General</c:formatCode>
                <c:ptCount val="6"/>
                <c:pt idx="0">
                  <c:v>82.1</c:v>
                </c:pt>
                <c:pt idx="1">
                  <c:v>12.8</c:v>
                </c:pt>
                <c:pt idx="2">
                  <c:v>2</c:v>
                </c:pt>
                <c:pt idx="3">
                  <c:v>0.4</c:v>
                </c:pt>
                <c:pt idx="4">
                  <c:v>1.4</c:v>
                </c:pt>
                <c:pt idx="5">
                  <c:v>0.4</c:v>
                </c:pt>
              </c:numCache>
            </c:numRef>
          </c:val>
        </c:ser>
        <c:dLbls>
          <c:showVal val="1"/>
          <c:showCatName val="1"/>
        </c:dLbls>
      </c:pie3D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ofPieChart>
        <c:ofPieType val="bar"/>
        <c:varyColors val="1"/>
        <c:ser>
          <c:idx val="0"/>
          <c:order val="0"/>
          <c:tx>
            <c:strRef>
              <c:f>Лист1!$E$6</c:f>
              <c:strCache>
                <c:ptCount val="1"/>
                <c:pt idx="0">
                  <c:v>2018</c:v>
                </c:pt>
              </c:strCache>
            </c:strRef>
          </c:tx>
          <c:dLbls>
            <c:dLbl>
              <c:idx val="6"/>
              <c:tx>
                <c:rich>
                  <a:bodyPr/>
                  <a:lstStyle/>
                  <a:p>
                    <a:r>
                      <a:rPr lang="en-US" sz="1200" b="1">
                        <a:latin typeface="Times New Roman" pitchFamily="18" charset="0"/>
                        <a:cs typeface="Times New Roman" pitchFamily="18" charset="0"/>
                      </a:rPr>
                      <a:t>A</a:t>
                    </a:r>
                    <a:r>
                      <a:rPr lang="en-US"/>
                      <a:t>ltele</a:t>
                    </a:r>
                    <a:r>
                      <a:rPr lang="ru-RU"/>
                      <a:t>; 12,7</a:t>
                    </a:r>
                  </a:p>
                </c:rich>
              </c:tx>
              <c:dLblPos val="bestFit"/>
              <c:showVal val="1"/>
              <c:showCatName val="1"/>
            </c:dLbl>
            <c:txPr>
              <a:bodyPr/>
              <a:lstStyle/>
              <a:p>
                <a:pPr>
                  <a:defRPr sz="1200" b="1">
                    <a:latin typeface="Times New Roman" pitchFamily="18" charset="0"/>
                    <a:cs typeface="Times New Roman" pitchFamily="18" charset="0"/>
                  </a:defRPr>
                </a:pPr>
                <a:endParaRPr lang="ru-RU"/>
              </a:p>
            </c:txPr>
            <c:dLblPos val="bestFit"/>
            <c:showVal val="1"/>
            <c:showCatName val="1"/>
            <c:showLeaderLines val="1"/>
          </c:dLbls>
          <c:cat>
            <c:strRef>
              <c:f>Лист1!$F$5:$K$5</c:f>
              <c:strCache>
                <c:ptCount val="6"/>
                <c:pt idx="0">
                  <c:v>SRL</c:v>
                </c:pt>
                <c:pt idx="1">
                  <c:v>GȚ</c:v>
                </c:pt>
                <c:pt idx="2">
                  <c:v>CAP</c:v>
                </c:pt>
                <c:pt idx="3">
                  <c:v>SA</c:v>
                </c:pt>
                <c:pt idx="4">
                  <c:v>ÎES</c:v>
                </c:pt>
                <c:pt idx="5">
                  <c:v>Pers. fizice</c:v>
                </c:pt>
              </c:strCache>
            </c:strRef>
          </c:cat>
          <c:val>
            <c:numRef>
              <c:f>Лист1!$F$6:$K$6</c:f>
              <c:numCache>
                <c:formatCode>General</c:formatCode>
                <c:ptCount val="6"/>
                <c:pt idx="0">
                  <c:v>44.8</c:v>
                </c:pt>
                <c:pt idx="1">
                  <c:v>32.800000000000004</c:v>
                </c:pt>
                <c:pt idx="2">
                  <c:v>6.9</c:v>
                </c:pt>
                <c:pt idx="3">
                  <c:v>1.9000000000000001</c:v>
                </c:pt>
                <c:pt idx="4">
                  <c:v>1.2</c:v>
                </c:pt>
                <c:pt idx="5">
                  <c:v>11.5</c:v>
                </c:pt>
              </c:numCache>
            </c:numRef>
          </c:val>
        </c:ser>
        <c:dLbls>
          <c:showVal val="1"/>
          <c:showCatName val="1"/>
        </c:dLbls>
        <c:gapWidth val="100"/>
        <c:secondPieSize val="75"/>
        <c:serLines/>
      </c:ofPie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Лист1!$B$37</c:f>
              <c:strCache>
                <c:ptCount val="1"/>
                <c:pt idx="0">
                  <c:v>Anul 2016</c:v>
                </c:pt>
              </c:strCache>
            </c:strRef>
          </c:tx>
          <c:cat>
            <c:strRef>
              <c:f>Лист1!$C$35:$H$36</c:f>
              <c:strCache>
                <c:ptCount val="6"/>
                <c:pt idx="0">
                  <c:v>Grâu, mii tone</c:v>
                </c:pt>
                <c:pt idx="1">
                  <c:v>Orz, mii tone</c:v>
                </c:pt>
                <c:pt idx="2">
                  <c:v>Porumb, mii tone</c:v>
                </c:pt>
                <c:pt idx="3">
                  <c:v>Leguminoase pentru boabe mii tone</c:v>
                </c:pt>
                <c:pt idx="4">
                  <c:v>Floarea soarelui, mii tone</c:v>
                </c:pt>
                <c:pt idx="5">
                  <c:v>Rapiță, mii tone</c:v>
                </c:pt>
              </c:strCache>
            </c:strRef>
          </c:cat>
          <c:val>
            <c:numRef>
              <c:f>Лист1!$C$37:$H$37</c:f>
              <c:numCache>
                <c:formatCode>General</c:formatCode>
                <c:ptCount val="6"/>
                <c:pt idx="0">
                  <c:v>68.7</c:v>
                </c:pt>
                <c:pt idx="1">
                  <c:v>23.1</c:v>
                </c:pt>
                <c:pt idx="2">
                  <c:v>45.8</c:v>
                </c:pt>
                <c:pt idx="3">
                  <c:v>4</c:v>
                </c:pt>
                <c:pt idx="4">
                  <c:v>38.200000000000003</c:v>
                </c:pt>
                <c:pt idx="5">
                  <c:v>7.6</c:v>
                </c:pt>
              </c:numCache>
            </c:numRef>
          </c:val>
        </c:ser>
        <c:ser>
          <c:idx val="1"/>
          <c:order val="1"/>
          <c:tx>
            <c:strRef>
              <c:f>Лист1!$B$38</c:f>
              <c:strCache>
                <c:ptCount val="1"/>
                <c:pt idx="0">
                  <c:v>Anul 2017</c:v>
                </c:pt>
              </c:strCache>
            </c:strRef>
          </c:tx>
          <c:cat>
            <c:strRef>
              <c:f>Лист1!$C$35:$H$36</c:f>
              <c:strCache>
                <c:ptCount val="6"/>
                <c:pt idx="0">
                  <c:v>Grâu, mii tone</c:v>
                </c:pt>
                <c:pt idx="1">
                  <c:v>Orz, mii tone</c:v>
                </c:pt>
                <c:pt idx="2">
                  <c:v>Porumb, mii tone</c:v>
                </c:pt>
                <c:pt idx="3">
                  <c:v>Leguminoase pentru boabe mii tone</c:v>
                </c:pt>
                <c:pt idx="4">
                  <c:v>Floarea soarelui, mii tone</c:v>
                </c:pt>
                <c:pt idx="5">
                  <c:v>Rapiță, mii tone</c:v>
                </c:pt>
              </c:strCache>
            </c:strRef>
          </c:cat>
          <c:val>
            <c:numRef>
              <c:f>Лист1!$C$38:$H$38</c:f>
              <c:numCache>
                <c:formatCode>General</c:formatCode>
                <c:ptCount val="6"/>
                <c:pt idx="0">
                  <c:v>66.8</c:v>
                </c:pt>
                <c:pt idx="1">
                  <c:v>21.5</c:v>
                </c:pt>
                <c:pt idx="2">
                  <c:v>67.599999999999994</c:v>
                </c:pt>
                <c:pt idx="3">
                  <c:v>3.8</c:v>
                </c:pt>
                <c:pt idx="4">
                  <c:v>40.300000000000011</c:v>
                </c:pt>
                <c:pt idx="5">
                  <c:v>10.6</c:v>
                </c:pt>
              </c:numCache>
            </c:numRef>
          </c:val>
        </c:ser>
        <c:ser>
          <c:idx val="2"/>
          <c:order val="2"/>
          <c:tx>
            <c:strRef>
              <c:f>Лист1!$B$39</c:f>
              <c:strCache>
                <c:ptCount val="1"/>
                <c:pt idx="0">
                  <c:v>Anul 2018 </c:v>
                </c:pt>
              </c:strCache>
            </c:strRef>
          </c:tx>
          <c:cat>
            <c:strRef>
              <c:f>Лист1!$C$35:$H$36</c:f>
              <c:strCache>
                <c:ptCount val="6"/>
                <c:pt idx="0">
                  <c:v>Grâu, mii tone</c:v>
                </c:pt>
                <c:pt idx="1">
                  <c:v>Orz, mii tone</c:v>
                </c:pt>
                <c:pt idx="2">
                  <c:v>Porumb, mii tone</c:v>
                </c:pt>
                <c:pt idx="3">
                  <c:v>Leguminoase pentru boabe mii tone</c:v>
                </c:pt>
                <c:pt idx="4">
                  <c:v>Floarea soarelui, mii tone</c:v>
                </c:pt>
                <c:pt idx="5">
                  <c:v>Rapiță, mii tone</c:v>
                </c:pt>
              </c:strCache>
            </c:strRef>
          </c:cat>
          <c:val>
            <c:numRef>
              <c:f>Лист1!$C$39:$H$39</c:f>
              <c:numCache>
                <c:formatCode>General</c:formatCode>
                <c:ptCount val="6"/>
                <c:pt idx="0">
                  <c:v>61.6</c:v>
                </c:pt>
                <c:pt idx="1">
                  <c:v>16.399999999999999</c:v>
                </c:pt>
                <c:pt idx="2">
                  <c:v>72.2</c:v>
                </c:pt>
                <c:pt idx="3">
                  <c:v>1.7</c:v>
                </c:pt>
                <c:pt idx="4">
                  <c:v>39</c:v>
                </c:pt>
                <c:pt idx="5">
                  <c:v>6.8</c:v>
                </c:pt>
              </c:numCache>
            </c:numRef>
          </c:val>
        </c:ser>
        <c:axId val="135447680"/>
        <c:axId val="135449216"/>
      </c:barChart>
      <c:catAx>
        <c:axId val="135447680"/>
        <c:scaling>
          <c:orientation val="minMax"/>
        </c:scaling>
        <c:axPos val="b"/>
        <c:majorTickMark val="none"/>
        <c:tickLblPos val="nextTo"/>
        <c:crossAx val="135449216"/>
        <c:crosses val="autoZero"/>
        <c:auto val="1"/>
        <c:lblAlgn val="ctr"/>
        <c:lblOffset val="100"/>
      </c:catAx>
      <c:valAx>
        <c:axId val="135449216"/>
        <c:scaling>
          <c:orientation val="minMax"/>
        </c:scaling>
        <c:axPos val="l"/>
        <c:majorGridlines/>
        <c:numFmt formatCode="General" sourceLinked="1"/>
        <c:majorTickMark val="none"/>
        <c:tickLblPos val="nextTo"/>
        <c:crossAx val="135447680"/>
        <c:crosses val="autoZero"/>
        <c:crossBetween val="between"/>
      </c:valAx>
      <c:dTable>
        <c:showHorzBorder val="1"/>
        <c:showVertBorder val="1"/>
        <c:showOutline val="1"/>
        <c:showKeys val="1"/>
      </c:dTable>
    </c:plotArea>
    <c:plotVisOnly val="1"/>
  </c:chart>
  <c:txPr>
    <a:bodyPr/>
    <a:lstStyle/>
    <a:p>
      <a:pPr>
        <a:defRPr>
          <a:latin typeface="Times New Roman" pitchFamily="18" charset="0"/>
          <a:cs typeface="Times New Roman"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Лист1!$B$44</c:f>
              <c:strCache>
                <c:ptCount val="1"/>
                <c:pt idx="0">
                  <c:v>anul 2016</c:v>
                </c:pt>
              </c:strCache>
            </c:strRef>
          </c:tx>
          <c:dLbls>
            <c:dLbl>
              <c:idx val="0"/>
              <c:layout>
                <c:manualLayout>
                  <c:x val="-8.3333333333333367E-3"/>
                  <c:y val="5.5555555555555504E-2"/>
                </c:manualLayout>
              </c:layout>
              <c:showVal val="1"/>
            </c:dLbl>
            <c:dLbl>
              <c:idx val="1"/>
              <c:layout>
                <c:manualLayout>
                  <c:x val="-2.7777777777778078E-3"/>
                  <c:y val="8.7962962962963062E-2"/>
                </c:manualLayout>
              </c:layout>
              <c:showVal val="1"/>
            </c:dLbl>
            <c:dLbl>
              <c:idx val="4"/>
              <c:layout>
                <c:manualLayout>
                  <c:x val="5.5555555555555558E-3"/>
                  <c:y val="5.5555555555555559E-2"/>
                </c:manualLayout>
              </c:layout>
              <c:showVal val="1"/>
            </c:dLbl>
            <c:showVal val="1"/>
          </c:dLbls>
          <c:cat>
            <c:strRef>
              <c:f>Лист1!$C$41:$H$43</c:f>
              <c:strCache>
                <c:ptCount val="6"/>
                <c:pt idx="0">
                  <c:v>Grâu</c:v>
                </c:pt>
                <c:pt idx="1">
                  <c:v>Orz</c:v>
                </c:pt>
                <c:pt idx="2">
                  <c:v>Porumb,</c:v>
                </c:pt>
                <c:pt idx="3">
                  <c:v>Leguminoase </c:v>
                </c:pt>
                <c:pt idx="4">
                  <c:v>Fl. Soarelui,  </c:v>
                </c:pt>
                <c:pt idx="5">
                  <c:v>Rapițâ, </c:v>
                </c:pt>
              </c:strCache>
            </c:strRef>
          </c:cat>
          <c:val>
            <c:numRef>
              <c:f>Лист1!$C$44:$H$44</c:f>
              <c:numCache>
                <c:formatCode>General</c:formatCode>
                <c:ptCount val="6"/>
                <c:pt idx="0">
                  <c:v>3.66</c:v>
                </c:pt>
                <c:pt idx="1">
                  <c:v>3.08</c:v>
                </c:pt>
                <c:pt idx="2">
                  <c:v>3.15</c:v>
                </c:pt>
                <c:pt idx="3">
                  <c:v>2.5</c:v>
                </c:pt>
                <c:pt idx="4">
                  <c:v>2.0499999999999998</c:v>
                </c:pt>
                <c:pt idx="5">
                  <c:v>2.5</c:v>
                </c:pt>
              </c:numCache>
            </c:numRef>
          </c:val>
        </c:ser>
        <c:ser>
          <c:idx val="1"/>
          <c:order val="1"/>
          <c:tx>
            <c:strRef>
              <c:f>Лист1!$B$45</c:f>
              <c:strCache>
                <c:ptCount val="1"/>
                <c:pt idx="0">
                  <c:v>anul 2017</c:v>
                </c:pt>
              </c:strCache>
            </c:strRef>
          </c:tx>
          <c:dLbls>
            <c:dLbl>
              <c:idx val="0"/>
              <c:layout>
                <c:manualLayout>
                  <c:x val="1.666666666666668E-2"/>
                  <c:y val="-4.6296296296296459E-3"/>
                </c:manualLayout>
              </c:layout>
              <c:showVal val="1"/>
            </c:dLbl>
            <c:dLbl>
              <c:idx val="1"/>
              <c:layout>
                <c:manualLayout>
                  <c:x val="8.3333333333333367E-3"/>
                  <c:y val="-1.3888888888888904E-2"/>
                </c:manualLayout>
              </c:layout>
              <c:showVal val="1"/>
            </c:dLbl>
            <c:dLbl>
              <c:idx val="5"/>
              <c:layout>
                <c:manualLayout>
                  <c:x val="8.3333333333333367E-3"/>
                  <c:y val="4.6296296296296328E-3"/>
                </c:manualLayout>
              </c:layout>
              <c:showVal val="1"/>
            </c:dLbl>
            <c:showVal val="1"/>
          </c:dLbls>
          <c:cat>
            <c:strRef>
              <c:f>Лист1!$C$41:$H$43</c:f>
              <c:strCache>
                <c:ptCount val="6"/>
                <c:pt idx="0">
                  <c:v>Grâu</c:v>
                </c:pt>
                <c:pt idx="1">
                  <c:v>Orz</c:v>
                </c:pt>
                <c:pt idx="2">
                  <c:v>Porumb,</c:v>
                </c:pt>
                <c:pt idx="3">
                  <c:v>Leguminoase </c:v>
                </c:pt>
                <c:pt idx="4">
                  <c:v>Fl. Soarelui,  </c:v>
                </c:pt>
                <c:pt idx="5">
                  <c:v>Rapițâ, </c:v>
                </c:pt>
              </c:strCache>
            </c:strRef>
          </c:cat>
          <c:val>
            <c:numRef>
              <c:f>Лист1!$C$45:$H$45</c:f>
              <c:numCache>
                <c:formatCode>General</c:formatCode>
                <c:ptCount val="6"/>
                <c:pt idx="0">
                  <c:v>3.86</c:v>
                </c:pt>
                <c:pt idx="1">
                  <c:v>3.03</c:v>
                </c:pt>
                <c:pt idx="2">
                  <c:v>4.3899999999999997</c:v>
                </c:pt>
                <c:pt idx="3">
                  <c:v>2</c:v>
                </c:pt>
                <c:pt idx="4">
                  <c:v>2.12</c:v>
                </c:pt>
                <c:pt idx="5">
                  <c:v>2.27</c:v>
                </c:pt>
              </c:numCache>
            </c:numRef>
          </c:val>
        </c:ser>
        <c:ser>
          <c:idx val="2"/>
          <c:order val="2"/>
          <c:tx>
            <c:strRef>
              <c:f>Лист1!$B$46</c:f>
              <c:strCache>
                <c:ptCount val="1"/>
                <c:pt idx="0">
                  <c:v>anul 2018</c:v>
                </c:pt>
              </c:strCache>
            </c:strRef>
          </c:tx>
          <c:dLbls>
            <c:dLbl>
              <c:idx val="0"/>
              <c:layout>
                <c:manualLayout>
                  <c:x val="8.3333333333333367E-3"/>
                  <c:y val="5.5555555555555504E-2"/>
                </c:manualLayout>
              </c:layout>
              <c:showVal val="1"/>
            </c:dLbl>
            <c:dLbl>
              <c:idx val="1"/>
              <c:layout>
                <c:manualLayout>
                  <c:x val="0"/>
                  <c:y val="3.2407407407407433E-2"/>
                </c:manualLayout>
              </c:layout>
              <c:showVal val="1"/>
            </c:dLbl>
            <c:dLbl>
              <c:idx val="2"/>
              <c:layout>
                <c:manualLayout>
                  <c:x val="-5.5555555555556061E-3"/>
                  <c:y val="5.0925925925925923E-2"/>
                </c:manualLayout>
              </c:layout>
              <c:showVal val="1"/>
            </c:dLbl>
            <c:dLbl>
              <c:idx val="3"/>
              <c:layout>
                <c:manualLayout>
                  <c:x val="5.5555555555555558E-3"/>
                  <c:y val="3.7037037037037056E-2"/>
                </c:manualLayout>
              </c:layout>
              <c:showVal val="1"/>
            </c:dLbl>
            <c:dLbl>
              <c:idx val="4"/>
              <c:layout>
                <c:manualLayout>
                  <c:x val="5.5555555555555558E-3"/>
                  <c:y val="4.6296296296296391E-2"/>
                </c:manualLayout>
              </c:layout>
              <c:showVal val="1"/>
            </c:dLbl>
            <c:dLbl>
              <c:idx val="5"/>
              <c:layout>
                <c:manualLayout>
                  <c:x val="8.3333333333334425E-3"/>
                  <c:y val="4.1666666666666623E-2"/>
                </c:manualLayout>
              </c:layout>
              <c:showVal val="1"/>
            </c:dLbl>
            <c:showVal val="1"/>
          </c:dLbls>
          <c:cat>
            <c:strRef>
              <c:f>Лист1!$C$41:$H$43</c:f>
              <c:strCache>
                <c:ptCount val="6"/>
                <c:pt idx="0">
                  <c:v>Grâu</c:v>
                </c:pt>
                <c:pt idx="1">
                  <c:v>Orz</c:v>
                </c:pt>
                <c:pt idx="2">
                  <c:v>Porumb,</c:v>
                </c:pt>
                <c:pt idx="3">
                  <c:v>Leguminoase </c:v>
                </c:pt>
                <c:pt idx="4">
                  <c:v>Fl. Soarelui,  </c:v>
                </c:pt>
                <c:pt idx="5">
                  <c:v>Rapițâ, </c:v>
                </c:pt>
              </c:strCache>
            </c:strRef>
          </c:cat>
          <c:val>
            <c:numRef>
              <c:f>Лист1!$C$46:$H$46</c:f>
              <c:numCache>
                <c:formatCode>General</c:formatCode>
                <c:ptCount val="6"/>
                <c:pt idx="0">
                  <c:v>2.8</c:v>
                </c:pt>
                <c:pt idx="1">
                  <c:v>2.2000000000000002</c:v>
                </c:pt>
                <c:pt idx="2">
                  <c:v>4.2</c:v>
                </c:pt>
                <c:pt idx="3">
                  <c:v>1.1000000000000001</c:v>
                </c:pt>
                <c:pt idx="4">
                  <c:v>1.7</c:v>
                </c:pt>
                <c:pt idx="5">
                  <c:v>1.6</c:v>
                </c:pt>
              </c:numCache>
            </c:numRef>
          </c:val>
        </c:ser>
        <c:axId val="143695872"/>
        <c:axId val="143698176"/>
      </c:barChart>
      <c:catAx>
        <c:axId val="143695872"/>
        <c:scaling>
          <c:orientation val="minMax"/>
        </c:scaling>
        <c:axPos val="b"/>
        <c:tickLblPos val="nextTo"/>
        <c:crossAx val="143698176"/>
        <c:crosses val="autoZero"/>
        <c:auto val="1"/>
        <c:lblAlgn val="ctr"/>
        <c:lblOffset val="100"/>
      </c:catAx>
      <c:valAx>
        <c:axId val="143698176"/>
        <c:scaling>
          <c:orientation val="minMax"/>
        </c:scaling>
        <c:axPos val="l"/>
        <c:majorGridlines/>
        <c:numFmt formatCode="General" sourceLinked="1"/>
        <c:tickLblPos val="nextTo"/>
        <c:crossAx val="143695872"/>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Городская">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697</TotalTime>
  <Pages>12</Pages>
  <Words>6114</Words>
  <Characters>34855</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2019-03-26T10:52:00Z</cp:lastPrinted>
  <dcterms:created xsi:type="dcterms:W3CDTF">2019-03-14T06:32:00Z</dcterms:created>
  <dcterms:modified xsi:type="dcterms:W3CDTF">2019-03-26T12:04:00Z</dcterms:modified>
</cp:coreProperties>
</file>